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7D69" w14:textId="77777777" w:rsidR="00F82AC2" w:rsidRPr="00F91194" w:rsidRDefault="00F82AC2" w:rsidP="00F015CC">
      <w:pPr>
        <w:spacing w:line="240" w:lineRule="auto"/>
        <w:rPr>
          <w:rFonts w:cstheme="minorHAnsi"/>
          <w:b/>
          <w:bCs/>
          <w:sz w:val="24"/>
          <w:szCs w:val="24"/>
          <w:lang w:val="ru-RU"/>
        </w:rPr>
      </w:pPr>
      <w:bookmarkStart w:id="0" w:name="_GoBack"/>
      <w:bookmarkEnd w:id="0"/>
    </w:p>
    <w:p w14:paraId="71AAE535" w14:textId="77777777" w:rsidR="00F82AC2" w:rsidRPr="00F91194" w:rsidRDefault="00F82AC2" w:rsidP="00F015CC">
      <w:pPr>
        <w:spacing w:line="240" w:lineRule="auto"/>
        <w:ind w:left="2124"/>
        <w:jc w:val="center"/>
        <w:rPr>
          <w:rFonts w:cstheme="minorHAnsi"/>
          <w:b/>
          <w:sz w:val="24"/>
          <w:szCs w:val="24"/>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3107"/>
        <w:gridCol w:w="3049"/>
      </w:tblGrid>
      <w:tr w:rsidR="00C91835" w:rsidRPr="00F91194" w14:paraId="365CB7CE" w14:textId="77777777" w:rsidTr="00B61169">
        <w:tc>
          <w:tcPr>
            <w:tcW w:w="3545" w:type="dxa"/>
          </w:tcPr>
          <w:p w14:paraId="442807B5" w14:textId="77777777" w:rsidR="004E123B" w:rsidRDefault="004E123B" w:rsidP="00427C6C">
            <w:pPr>
              <w:spacing w:after="160"/>
              <w:jc w:val="center"/>
              <w:rPr>
                <w:rFonts w:cstheme="minorHAnsi"/>
                <w:b/>
              </w:rPr>
            </w:pPr>
            <w:r w:rsidRPr="00F91194">
              <w:rPr>
                <w:rFonts w:cstheme="minorHAnsi"/>
                <w:noProof/>
              </w:rPr>
              <w:drawing>
                <wp:anchor distT="0" distB="0" distL="114300" distR="114300" simplePos="0" relativeHeight="251663360" behindDoc="0" locked="0" layoutInCell="1" allowOverlap="1" wp14:anchorId="6C02B24C" wp14:editId="3E7EF2C3">
                  <wp:simplePos x="0" y="0"/>
                  <wp:positionH relativeFrom="column">
                    <wp:posOffset>320524</wp:posOffset>
                  </wp:positionH>
                  <wp:positionV relativeFrom="paragraph">
                    <wp:posOffset>26869</wp:posOffset>
                  </wp:positionV>
                  <wp:extent cx="1327150" cy="907415"/>
                  <wp:effectExtent l="19050" t="19050" r="25400" b="26035"/>
                  <wp:wrapSquare wrapText="bothSides"/>
                  <wp:docPr id="22" name="Рисунок 22" descr="http://eng.flag.kremlin.ru/i/flag-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flag.kremlin.ru/i/flag-bi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907415"/>
                          </a:xfrm>
                          <a:prstGeom prst="rect">
                            <a:avLst/>
                          </a:prstGeom>
                          <a:noFill/>
                          <a:ln w="9525">
                            <a:solidFill>
                              <a:srgbClr val="5B9BD5"/>
                            </a:solidFill>
                            <a:miter lim="800000"/>
                            <a:headEnd/>
                            <a:tailEnd/>
                          </a:ln>
                        </pic:spPr>
                      </pic:pic>
                    </a:graphicData>
                  </a:graphic>
                  <wp14:sizeRelH relativeFrom="page">
                    <wp14:pctWidth>0</wp14:pctWidth>
                  </wp14:sizeRelH>
                  <wp14:sizeRelV relativeFrom="page">
                    <wp14:pctHeight>0</wp14:pctHeight>
                  </wp14:sizeRelV>
                </wp:anchor>
              </w:drawing>
            </w:r>
          </w:p>
          <w:p w14:paraId="4EBC827F" w14:textId="77777777" w:rsidR="00427C6C" w:rsidRPr="00427C6C" w:rsidRDefault="00427C6C" w:rsidP="00427C6C">
            <w:pPr>
              <w:spacing w:after="160"/>
              <w:jc w:val="center"/>
              <w:rPr>
                <w:rFonts w:cstheme="minorHAnsi"/>
                <w:b/>
              </w:rPr>
            </w:pPr>
          </w:p>
          <w:p w14:paraId="30E71083" w14:textId="77777777" w:rsidR="00427C6C" w:rsidRDefault="00427C6C" w:rsidP="00F015CC">
            <w:pPr>
              <w:spacing w:after="160"/>
              <w:jc w:val="center"/>
              <w:rPr>
                <w:rFonts w:cstheme="minorHAnsi"/>
                <w:noProof/>
              </w:rPr>
            </w:pPr>
          </w:p>
          <w:p w14:paraId="19EFC169" w14:textId="77777777" w:rsidR="0021707B" w:rsidRDefault="0021707B" w:rsidP="00F015CC">
            <w:pPr>
              <w:spacing w:after="160"/>
              <w:jc w:val="center"/>
              <w:rPr>
                <w:rFonts w:cstheme="minorHAnsi"/>
                <w:noProof/>
              </w:rPr>
            </w:pPr>
          </w:p>
          <w:p w14:paraId="0E09FAC5" w14:textId="77777777" w:rsidR="0021707B" w:rsidRDefault="0021707B" w:rsidP="00F015CC">
            <w:pPr>
              <w:spacing w:after="160"/>
              <w:jc w:val="center"/>
              <w:rPr>
                <w:rFonts w:cstheme="minorHAnsi"/>
                <w:noProof/>
              </w:rPr>
            </w:pPr>
          </w:p>
          <w:p w14:paraId="2681DF56" w14:textId="77777777" w:rsidR="0021707B" w:rsidRDefault="0021707B" w:rsidP="00F015CC">
            <w:pPr>
              <w:spacing w:after="160"/>
              <w:jc w:val="center"/>
              <w:rPr>
                <w:rFonts w:cstheme="minorHAnsi"/>
                <w:noProof/>
              </w:rPr>
            </w:pPr>
          </w:p>
          <w:p w14:paraId="2B714B48" w14:textId="2FE60606" w:rsidR="00C91835" w:rsidRPr="00F91194" w:rsidRDefault="00C91835" w:rsidP="00F015CC">
            <w:pPr>
              <w:spacing w:after="160"/>
              <w:jc w:val="center"/>
              <w:rPr>
                <w:rFonts w:cstheme="minorHAnsi"/>
                <w:noProof/>
              </w:rPr>
            </w:pPr>
            <w:r w:rsidRPr="00F91194">
              <w:rPr>
                <w:rFonts w:cstheme="minorHAnsi"/>
                <w:noProof/>
              </w:rPr>
              <w:t>With financial support from</w:t>
            </w:r>
            <w:r w:rsidR="00B61169" w:rsidRPr="00F91194">
              <w:rPr>
                <w:rFonts w:cstheme="minorHAnsi"/>
                <w:noProof/>
              </w:rPr>
              <w:br/>
            </w:r>
            <w:r w:rsidR="00F07E43" w:rsidRPr="00F91194">
              <w:rPr>
                <w:rFonts w:cstheme="minorHAnsi"/>
                <w:noProof/>
              </w:rPr>
              <w:t xml:space="preserve"> </w:t>
            </w:r>
            <w:r w:rsidRPr="00F91194">
              <w:rPr>
                <w:rFonts w:cstheme="minorHAnsi"/>
                <w:noProof/>
              </w:rPr>
              <w:t>the Russian Federation</w:t>
            </w:r>
          </w:p>
          <w:p w14:paraId="3461CCE4" w14:textId="77777777" w:rsidR="00C91835" w:rsidRPr="00F91194" w:rsidRDefault="00C91835" w:rsidP="00F015CC">
            <w:pPr>
              <w:spacing w:after="160"/>
              <w:jc w:val="center"/>
              <w:rPr>
                <w:rFonts w:cstheme="minorHAnsi"/>
                <w:b/>
              </w:rPr>
            </w:pPr>
          </w:p>
        </w:tc>
        <w:tc>
          <w:tcPr>
            <w:tcW w:w="3118" w:type="dxa"/>
          </w:tcPr>
          <w:p w14:paraId="26FE2876" w14:textId="77777777" w:rsidR="004E123B" w:rsidRDefault="00B61169" w:rsidP="00427C6C">
            <w:pPr>
              <w:spacing w:after="160"/>
              <w:jc w:val="center"/>
              <w:rPr>
                <w:rFonts w:cstheme="minorHAnsi"/>
                <w:noProof/>
              </w:rPr>
            </w:pPr>
            <w:r w:rsidRPr="00F91194">
              <w:rPr>
                <w:rFonts w:cstheme="minorHAnsi"/>
                <w:b/>
                <w:noProof/>
                <w:lang w:val="ru-RU" w:eastAsia="ru-RU"/>
              </w:rPr>
              <w:drawing>
                <wp:anchor distT="0" distB="0" distL="114300" distR="114300" simplePos="0" relativeHeight="251661312" behindDoc="0" locked="0" layoutInCell="1" allowOverlap="1" wp14:anchorId="27340513" wp14:editId="11B36267">
                  <wp:simplePos x="0" y="0"/>
                  <wp:positionH relativeFrom="column">
                    <wp:posOffset>118110</wp:posOffset>
                  </wp:positionH>
                  <wp:positionV relativeFrom="paragraph">
                    <wp:posOffset>2540</wp:posOffset>
                  </wp:positionV>
                  <wp:extent cx="1534795" cy="943610"/>
                  <wp:effectExtent l="0" t="0" r="8255" b="8890"/>
                  <wp:wrapSquare wrapText="bothSides"/>
                  <wp:docPr id="1" name="Рисунок 1" descr="http://tourkg.com/wp-content/uploads/2014/02/flag-Kyrgyzst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tourkg.com/wp-content/uploads/2014/02/flag-Kyrgyzstana.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53479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6B7" w:rsidRPr="00F91194">
              <w:rPr>
                <w:rFonts w:cstheme="minorHAnsi"/>
                <w:noProof/>
              </w:rPr>
              <w:br/>
            </w:r>
          </w:p>
          <w:p w14:paraId="7F630457" w14:textId="77777777" w:rsidR="00427C6C" w:rsidRDefault="00427C6C" w:rsidP="004E123B">
            <w:pPr>
              <w:spacing w:after="160"/>
              <w:rPr>
                <w:rFonts w:cstheme="minorHAnsi"/>
                <w:noProof/>
              </w:rPr>
            </w:pPr>
          </w:p>
          <w:p w14:paraId="14AA76C4" w14:textId="77777777" w:rsidR="00C91835" w:rsidRPr="00F91194" w:rsidRDefault="00C91835" w:rsidP="004E123B">
            <w:pPr>
              <w:spacing w:after="160"/>
              <w:rPr>
                <w:rFonts w:cstheme="minorHAnsi"/>
                <w:b/>
              </w:rPr>
            </w:pPr>
            <w:r w:rsidRPr="00F91194">
              <w:rPr>
                <w:rFonts w:cstheme="minorHAnsi"/>
                <w:noProof/>
              </w:rPr>
              <w:t>The Government of the Kyrgyz Republic</w:t>
            </w:r>
            <w:r w:rsidRPr="00F91194">
              <w:rPr>
                <w:rFonts w:cstheme="minorHAnsi"/>
                <w:b/>
                <w:noProof/>
                <w:lang w:eastAsia="ru-RU"/>
              </w:rPr>
              <w:t xml:space="preserve"> </w:t>
            </w:r>
          </w:p>
        </w:tc>
        <w:tc>
          <w:tcPr>
            <w:tcW w:w="3089" w:type="dxa"/>
          </w:tcPr>
          <w:p w14:paraId="6A9B0C1A" w14:textId="77777777" w:rsidR="00C91835" w:rsidRPr="00F91194" w:rsidRDefault="00C91835" w:rsidP="00F015CC">
            <w:pPr>
              <w:spacing w:after="160"/>
              <w:jc w:val="center"/>
              <w:rPr>
                <w:rFonts w:cstheme="minorHAnsi"/>
                <w:b/>
              </w:rPr>
            </w:pPr>
            <w:r w:rsidRPr="00F91194">
              <w:rPr>
                <w:rFonts w:cstheme="minorHAnsi"/>
                <w:noProof/>
                <w:lang w:val="ru-RU" w:eastAsia="ru-RU"/>
              </w:rPr>
              <w:drawing>
                <wp:inline distT="0" distB="0" distL="0" distR="0" wp14:anchorId="29D2BB3F" wp14:editId="146631B6">
                  <wp:extent cx="512922" cy="956945"/>
                  <wp:effectExtent l="0" t="0" r="1905" b="0"/>
                  <wp:docPr id="21" name="Рисунок 2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DP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864" cy="969897"/>
                          </a:xfrm>
                          <a:prstGeom prst="rect">
                            <a:avLst/>
                          </a:prstGeom>
                          <a:noFill/>
                          <a:ln>
                            <a:noFill/>
                          </a:ln>
                        </pic:spPr>
                      </pic:pic>
                    </a:graphicData>
                  </a:graphic>
                </wp:inline>
              </w:drawing>
            </w:r>
          </w:p>
          <w:p w14:paraId="592C258C" w14:textId="77777777" w:rsidR="005F06B7" w:rsidRPr="00F91194" w:rsidRDefault="005F06B7" w:rsidP="00F015CC">
            <w:pPr>
              <w:spacing w:after="160"/>
              <w:jc w:val="center"/>
              <w:rPr>
                <w:rFonts w:cstheme="minorHAnsi"/>
                <w:noProof/>
              </w:rPr>
            </w:pPr>
          </w:p>
          <w:p w14:paraId="0DA95F7A" w14:textId="77777777" w:rsidR="004E123B" w:rsidRDefault="004E123B" w:rsidP="00F015CC">
            <w:pPr>
              <w:spacing w:after="160"/>
              <w:jc w:val="center"/>
              <w:rPr>
                <w:rFonts w:cstheme="minorHAnsi"/>
                <w:noProof/>
              </w:rPr>
            </w:pPr>
          </w:p>
          <w:p w14:paraId="35C08936" w14:textId="77777777" w:rsidR="00C91835" w:rsidRPr="00F91194" w:rsidRDefault="00C91835" w:rsidP="00F015CC">
            <w:pPr>
              <w:spacing w:after="160"/>
              <w:jc w:val="center"/>
              <w:rPr>
                <w:rFonts w:cstheme="minorHAnsi"/>
                <w:b/>
              </w:rPr>
            </w:pPr>
            <w:r w:rsidRPr="00F91194">
              <w:rPr>
                <w:rFonts w:cstheme="minorHAnsi"/>
                <w:noProof/>
              </w:rPr>
              <w:t>United Nations Development Programme in the Kyrgyz Republic</w:t>
            </w:r>
          </w:p>
        </w:tc>
      </w:tr>
    </w:tbl>
    <w:p w14:paraId="1E0435DA" w14:textId="77777777" w:rsidR="00C91835" w:rsidRPr="00F91194" w:rsidRDefault="00C91835" w:rsidP="00F015CC">
      <w:pPr>
        <w:spacing w:line="240" w:lineRule="auto"/>
        <w:ind w:left="2124"/>
        <w:jc w:val="center"/>
        <w:rPr>
          <w:rFonts w:cstheme="minorHAnsi"/>
          <w:b/>
          <w:sz w:val="24"/>
          <w:szCs w:val="24"/>
        </w:rPr>
      </w:pPr>
    </w:p>
    <w:p w14:paraId="2292A1C5" w14:textId="77777777" w:rsidR="00F82AC2" w:rsidRPr="00F91194" w:rsidRDefault="00F82AC2" w:rsidP="00F015CC">
      <w:pPr>
        <w:spacing w:line="240" w:lineRule="auto"/>
        <w:rPr>
          <w:rFonts w:cstheme="minorHAnsi"/>
          <w:b/>
          <w:bCs/>
          <w:sz w:val="24"/>
          <w:szCs w:val="24"/>
        </w:rPr>
      </w:pPr>
    </w:p>
    <w:p w14:paraId="6E54D788" w14:textId="77777777" w:rsidR="00F82AC2" w:rsidRPr="00F91194" w:rsidRDefault="00F82AC2" w:rsidP="00F015CC">
      <w:pPr>
        <w:spacing w:line="240" w:lineRule="auto"/>
        <w:ind w:left="11"/>
        <w:jc w:val="center"/>
        <w:rPr>
          <w:rFonts w:cstheme="minorHAnsi"/>
          <w:b/>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F82AC2" w:rsidRPr="00F91194" w14:paraId="16E57FB7" w14:textId="77777777" w:rsidTr="00C4191B">
        <w:trPr>
          <w:trHeight w:val="1143"/>
        </w:trPr>
        <w:tc>
          <w:tcPr>
            <w:tcW w:w="10137" w:type="dxa"/>
            <w:shd w:val="clear" w:color="auto" w:fill="9CC2E5"/>
            <w:vAlign w:val="center"/>
          </w:tcPr>
          <w:p w14:paraId="47DD7BDC" w14:textId="77777777" w:rsidR="00F82AC2" w:rsidRPr="00F91194" w:rsidRDefault="00664EBD" w:rsidP="00F015CC">
            <w:pPr>
              <w:spacing w:line="240" w:lineRule="auto"/>
              <w:jc w:val="center"/>
              <w:rPr>
                <w:rFonts w:cstheme="minorHAnsi"/>
                <w:b/>
                <w:sz w:val="24"/>
                <w:szCs w:val="24"/>
              </w:rPr>
            </w:pPr>
            <w:r w:rsidRPr="00F91194">
              <w:rPr>
                <w:rFonts w:cstheme="minorHAnsi"/>
                <w:b/>
                <w:sz w:val="24"/>
                <w:szCs w:val="24"/>
              </w:rPr>
              <w:t xml:space="preserve">PROJECT </w:t>
            </w:r>
            <w:r w:rsidR="00461ABE">
              <w:rPr>
                <w:rFonts w:cstheme="minorHAnsi"/>
                <w:b/>
                <w:sz w:val="24"/>
                <w:szCs w:val="24"/>
              </w:rPr>
              <w:t>ANNUAL</w:t>
            </w:r>
            <w:r w:rsidRPr="00F91194">
              <w:rPr>
                <w:rFonts w:cstheme="minorHAnsi"/>
                <w:b/>
                <w:sz w:val="24"/>
                <w:szCs w:val="24"/>
              </w:rPr>
              <w:t xml:space="preserve"> REPORT</w:t>
            </w:r>
          </w:p>
        </w:tc>
      </w:tr>
    </w:tbl>
    <w:p w14:paraId="7D614C52" w14:textId="77777777" w:rsidR="00F82AC2" w:rsidRPr="00F91194" w:rsidRDefault="00F82AC2" w:rsidP="00F015CC">
      <w:pPr>
        <w:spacing w:line="240" w:lineRule="auto"/>
        <w:ind w:left="11"/>
        <w:jc w:val="center"/>
        <w:rPr>
          <w:rFonts w:cstheme="minorHAnsi"/>
          <w:b/>
          <w:sz w:val="24"/>
          <w:szCs w:val="24"/>
        </w:rPr>
      </w:pPr>
    </w:p>
    <w:p w14:paraId="18B9D283" w14:textId="77777777" w:rsidR="00F82AC2" w:rsidRPr="00F91194" w:rsidRDefault="00F82AC2" w:rsidP="00F015CC">
      <w:pPr>
        <w:spacing w:line="240" w:lineRule="auto"/>
        <w:rPr>
          <w:rFonts w:cstheme="minorHAnsi"/>
          <w:b/>
          <w:bCs/>
          <w:sz w:val="24"/>
          <w:szCs w:val="24"/>
        </w:rPr>
      </w:pPr>
    </w:p>
    <w:sdt>
      <w:sdtPr>
        <w:rPr>
          <w:rFonts w:cstheme="minorHAnsi"/>
          <w:i w:val="0"/>
          <w:caps/>
          <w:sz w:val="24"/>
          <w:szCs w:val="24"/>
          <w:lang w:val="en-US"/>
        </w:rPr>
        <w:alias w:val="Цитата или аннотация"/>
        <w:tag w:val="Цитата или аннотация"/>
        <w:id w:val="468554863"/>
        <w:dataBinding w:prefixMappings="xmlns:ns0='http://schemas.microsoft.com/office/2006/coverPageProps'" w:xpath="/ns0:CoverPageProperties[1]/ns0:Abstract[1]" w:storeItemID="{55AF091B-3C7A-41E3-B477-F2FDAA23CFDA}"/>
        <w:text/>
      </w:sdtPr>
      <w:sdtEndPr/>
      <w:sdtContent>
        <w:p w14:paraId="2BCDB4A6" w14:textId="77777777" w:rsidR="00F82AC2" w:rsidRPr="00F91194" w:rsidRDefault="00060CE9" w:rsidP="00F015CC">
          <w:pPr>
            <w:pStyle w:val="a"/>
            <w:spacing w:before="0" w:after="160" w:line="240" w:lineRule="auto"/>
            <w:jc w:val="center"/>
            <w:rPr>
              <w:rFonts w:cstheme="minorHAnsi"/>
              <w:i w:val="0"/>
              <w:caps/>
              <w:color w:val="auto"/>
              <w:sz w:val="24"/>
              <w:szCs w:val="24"/>
              <w:lang w:val="en-US" w:eastAsia="en-US"/>
            </w:rPr>
          </w:pPr>
          <w:r w:rsidRPr="00F91194">
            <w:rPr>
              <w:rFonts w:cstheme="minorHAnsi"/>
              <w:i w:val="0"/>
              <w:caps/>
              <w:sz w:val="24"/>
              <w:szCs w:val="24"/>
              <w:lang w:val="en-US"/>
            </w:rPr>
            <w:t>Strengthening C</w:t>
          </w:r>
          <w:r w:rsidR="00493B1D" w:rsidRPr="00F91194">
            <w:rPr>
              <w:rFonts w:cstheme="minorHAnsi"/>
              <w:i w:val="0"/>
              <w:caps/>
              <w:sz w:val="24"/>
              <w:szCs w:val="24"/>
              <w:lang w:val="en-US"/>
            </w:rPr>
            <w:t xml:space="preserve">apacities for </w:t>
          </w:r>
          <w:r w:rsidRPr="00F91194">
            <w:rPr>
              <w:rFonts w:cstheme="minorHAnsi"/>
              <w:i w:val="0"/>
              <w:caps/>
              <w:sz w:val="24"/>
              <w:szCs w:val="24"/>
              <w:lang w:val="en-US"/>
            </w:rPr>
            <w:t>S</w:t>
          </w:r>
          <w:r w:rsidR="00493B1D" w:rsidRPr="00F91194">
            <w:rPr>
              <w:rFonts w:cstheme="minorHAnsi"/>
              <w:i w:val="0"/>
              <w:caps/>
              <w:sz w:val="24"/>
              <w:szCs w:val="24"/>
              <w:lang w:val="en-US"/>
            </w:rPr>
            <w:t xml:space="preserve">ustainable </w:t>
          </w:r>
          <w:r w:rsidRPr="00F91194">
            <w:rPr>
              <w:rFonts w:cstheme="minorHAnsi"/>
              <w:i w:val="0"/>
              <w:caps/>
              <w:sz w:val="24"/>
              <w:szCs w:val="24"/>
              <w:lang w:val="en-US"/>
            </w:rPr>
            <w:t>D</w:t>
          </w:r>
          <w:r w:rsidR="00493B1D" w:rsidRPr="00F91194">
            <w:rPr>
              <w:rFonts w:cstheme="minorHAnsi"/>
              <w:i w:val="0"/>
              <w:caps/>
              <w:sz w:val="24"/>
              <w:szCs w:val="24"/>
              <w:lang w:val="en-US"/>
            </w:rPr>
            <w:t xml:space="preserve">evelopment </w:t>
          </w:r>
          <w:r w:rsidRPr="00F91194">
            <w:rPr>
              <w:rFonts w:cstheme="minorHAnsi"/>
              <w:i w:val="0"/>
              <w:caps/>
              <w:sz w:val="24"/>
              <w:szCs w:val="24"/>
              <w:lang w:val="en-US"/>
            </w:rPr>
            <w:t>F</w:t>
          </w:r>
          <w:r w:rsidR="00493B1D" w:rsidRPr="00F91194">
            <w:rPr>
              <w:rFonts w:cstheme="minorHAnsi"/>
              <w:i w:val="0"/>
              <w:caps/>
              <w:sz w:val="24"/>
              <w:szCs w:val="24"/>
              <w:lang w:val="en-US"/>
            </w:rPr>
            <w:t xml:space="preserve">inance in the Commonwealth of Independent States (CIS) </w:t>
          </w:r>
          <w:r w:rsidRPr="00F91194">
            <w:rPr>
              <w:rFonts w:cstheme="minorHAnsi"/>
              <w:i w:val="0"/>
              <w:caps/>
              <w:sz w:val="24"/>
              <w:szCs w:val="24"/>
              <w:lang w:val="en-US"/>
            </w:rPr>
            <w:t>R</w:t>
          </w:r>
          <w:r w:rsidR="00493B1D" w:rsidRPr="00F91194">
            <w:rPr>
              <w:rFonts w:cstheme="minorHAnsi"/>
              <w:i w:val="0"/>
              <w:caps/>
              <w:sz w:val="24"/>
              <w:szCs w:val="24"/>
              <w:lang w:val="en-US"/>
            </w:rPr>
            <w:t>egion</w:t>
          </w:r>
        </w:p>
      </w:sdtContent>
    </w:sdt>
    <w:p w14:paraId="0D97FB9B" w14:textId="77777777" w:rsidR="00F82AC2" w:rsidRPr="00F91194" w:rsidRDefault="00F82AC2" w:rsidP="00F015CC">
      <w:pPr>
        <w:spacing w:line="240" w:lineRule="auto"/>
        <w:jc w:val="center"/>
        <w:rPr>
          <w:rFonts w:cstheme="minorHAnsi"/>
          <w:b/>
          <w:sz w:val="24"/>
          <w:szCs w:val="24"/>
        </w:rPr>
      </w:pPr>
    </w:p>
    <w:p w14:paraId="1A9C1EBC" w14:textId="77777777" w:rsidR="00F82AC2" w:rsidRPr="00F91194" w:rsidRDefault="00F82AC2" w:rsidP="00F015CC">
      <w:pPr>
        <w:spacing w:line="240" w:lineRule="auto"/>
        <w:jc w:val="center"/>
        <w:rPr>
          <w:rFonts w:cstheme="minorHAnsi"/>
          <w:b/>
          <w:sz w:val="24"/>
          <w:szCs w:val="24"/>
        </w:rPr>
      </w:pPr>
    </w:p>
    <w:p w14:paraId="7253D953" w14:textId="77777777" w:rsidR="00F82AC2" w:rsidRPr="00F91194" w:rsidRDefault="00F82AC2" w:rsidP="00F015CC">
      <w:pPr>
        <w:spacing w:line="240" w:lineRule="auto"/>
        <w:jc w:val="center"/>
        <w:rPr>
          <w:rFonts w:cstheme="minorHAnsi"/>
          <w:b/>
          <w:sz w:val="24"/>
          <w:szCs w:val="24"/>
        </w:rPr>
      </w:pPr>
    </w:p>
    <w:p w14:paraId="15C54CDA" w14:textId="77777777" w:rsidR="00F82AC2" w:rsidRPr="00F91194" w:rsidRDefault="00F82AC2" w:rsidP="00F015CC">
      <w:pPr>
        <w:spacing w:line="240" w:lineRule="auto"/>
        <w:jc w:val="center"/>
        <w:rPr>
          <w:rFonts w:cstheme="minorHAnsi"/>
          <w:b/>
          <w:sz w:val="24"/>
          <w:szCs w:val="24"/>
        </w:rPr>
      </w:pPr>
    </w:p>
    <w:p w14:paraId="4D21F8DF" w14:textId="77777777" w:rsidR="00F82AC2" w:rsidRPr="00F91194" w:rsidRDefault="00F82AC2" w:rsidP="00F015CC">
      <w:pPr>
        <w:spacing w:line="240" w:lineRule="auto"/>
        <w:jc w:val="center"/>
        <w:rPr>
          <w:rFonts w:cstheme="minorHAnsi"/>
          <w:b/>
          <w:sz w:val="24"/>
          <w:szCs w:val="24"/>
        </w:rPr>
      </w:pPr>
    </w:p>
    <w:p w14:paraId="2B556D43" w14:textId="77777777" w:rsidR="00F82AC2" w:rsidRPr="00F91194" w:rsidRDefault="00F82AC2" w:rsidP="00F015CC">
      <w:pPr>
        <w:spacing w:line="240" w:lineRule="auto"/>
        <w:jc w:val="center"/>
        <w:rPr>
          <w:rFonts w:cstheme="minorHAnsi"/>
          <w:b/>
          <w:sz w:val="24"/>
          <w:szCs w:val="24"/>
        </w:rPr>
      </w:pPr>
    </w:p>
    <w:p w14:paraId="074D6C8C" w14:textId="77777777" w:rsidR="00F82AC2" w:rsidRPr="00F91194" w:rsidRDefault="00F82AC2" w:rsidP="00F015CC">
      <w:pPr>
        <w:spacing w:line="240" w:lineRule="auto"/>
        <w:jc w:val="center"/>
        <w:rPr>
          <w:rFonts w:cstheme="minorHAnsi"/>
          <w:b/>
          <w:sz w:val="24"/>
          <w:szCs w:val="24"/>
        </w:rPr>
      </w:pPr>
    </w:p>
    <w:p w14:paraId="4049FC18" w14:textId="77777777" w:rsidR="00F82AC2" w:rsidRPr="00F91194" w:rsidRDefault="00F82AC2" w:rsidP="00F015CC">
      <w:pPr>
        <w:spacing w:line="240" w:lineRule="auto"/>
        <w:jc w:val="center"/>
        <w:rPr>
          <w:rFonts w:cstheme="minorHAnsi"/>
          <w:b/>
          <w:sz w:val="24"/>
          <w:szCs w:val="24"/>
        </w:rPr>
      </w:pPr>
    </w:p>
    <w:p w14:paraId="02A25B2E" w14:textId="431CDF6B" w:rsidR="00EE5B4F" w:rsidRPr="00222AA2" w:rsidRDefault="00493B1D" w:rsidP="00222AA2">
      <w:pPr>
        <w:spacing w:line="240" w:lineRule="auto"/>
        <w:jc w:val="center"/>
        <w:rPr>
          <w:rFonts w:cstheme="minorHAnsi"/>
          <w:b/>
          <w:sz w:val="24"/>
          <w:szCs w:val="24"/>
        </w:rPr>
      </w:pPr>
      <w:r w:rsidRPr="00F91194">
        <w:rPr>
          <w:rFonts w:cstheme="minorHAnsi"/>
          <w:sz w:val="24"/>
          <w:szCs w:val="24"/>
        </w:rPr>
        <w:t xml:space="preserve">Bishkek, </w:t>
      </w:r>
      <w:r w:rsidR="00F82AC2" w:rsidRPr="00F91194">
        <w:rPr>
          <w:rFonts w:cstheme="minorHAnsi"/>
          <w:sz w:val="24"/>
          <w:szCs w:val="24"/>
        </w:rPr>
        <w:t>20</w:t>
      </w:r>
      <w:r w:rsidR="00067C20">
        <w:rPr>
          <w:rFonts w:cstheme="minorHAnsi"/>
          <w:sz w:val="24"/>
          <w:szCs w:val="24"/>
        </w:rPr>
        <w:t>20</w:t>
      </w:r>
    </w:p>
    <w:p w14:paraId="2990B31A" w14:textId="77777777" w:rsidR="00EE5B4F" w:rsidRPr="00F015CC" w:rsidRDefault="00EE5B4F" w:rsidP="00F015CC">
      <w:pPr>
        <w:pStyle w:val="BodyText"/>
        <w:tabs>
          <w:tab w:val="left" w:pos="7452"/>
        </w:tabs>
        <w:spacing w:after="160"/>
        <w:jc w:val="center"/>
        <w:outlineLvl w:val="0"/>
        <w:rPr>
          <w:rFonts w:asciiTheme="minorHAnsi" w:hAnsiTheme="minorHAnsi" w:cstheme="minorHAnsi"/>
          <w:b/>
          <w:color w:val="000000"/>
          <w:sz w:val="22"/>
          <w:szCs w:val="22"/>
        </w:rPr>
      </w:pPr>
    </w:p>
    <w:tbl>
      <w:tblPr>
        <w:tblStyle w:val="TableGrid"/>
        <w:tblW w:w="9606" w:type="dxa"/>
        <w:tblLook w:val="04A0" w:firstRow="1" w:lastRow="0" w:firstColumn="1" w:lastColumn="0" w:noHBand="0" w:noVBand="1"/>
      </w:tblPr>
      <w:tblGrid>
        <w:gridCol w:w="3369"/>
        <w:gridCol w:w="6237"/>
      </w:tblGrid>
      <w:tr w:rsidR="00493B1D" w:rsidRPr="00F015CC" w14:paraId="45064813" w14:textId="77777777" w:rsidTr="00493B1D">
        <w:tc>
          <w:tcPr>
            <w:tcW w:w="3369" w:type="dxa"/>
          </w:tcPr>
          <w:p w14:paraId="2F33B98D" w14:textId="77777777" w:rsidR="00493B1D" w:rsidRPr="00F015CC" w:rsidRDefault="00493B1D" w:rsidP="00F015CC">
            <w:pPr>
              <w:spacing w:after="160"/>
              <w:rPr>
                <w:rFonts w:cstheme="minorHAnsi"/>
                <w:b/>
                <w:lang w:val="ru-RU"/>
              </w:rPr>
            </w:pPr>
            <w:proofErr w:type="spellStart"/>
            <w:r w:rsidRPr="00F015CC">
              <w:rPr>
                <w:rFonts w:cstheme="minorHAnsi"/>
                <w:b/>
                <w:lang w:val="ru-RU"/>
              </w:rPr>
              <w:lastRenderedPageBreak/>
              <w:t>Project</w:t>
            </w:r>
            <w:proofErr w:type="spellEnd"/>
            <w:r w:rsidRPr="00F015CC">
              <w:rPr>
                <w:rFonts w:cstheme="minorHAnsi"/>
                <w:b/>
                <w:lang w:val="ru-RU"/>
              </w:rPr>
              <w:t xml:space="preserve"> </w:t>
            </w:r>
            <w:proofErr w:type="spellStart"/>
            <w:r w:rsidRPr="00F015CC">
              <w:rPr>
                <w:rFonts w:cstheme="minorHAnsi"/>
                <w:b/>
                <w:lang w:val="ru-RU"/>
              </w:rPr>
              <w:t>title</w:t>
            </w:r>
            <w:proofErr w:type="spellEnd"/>
            <w:r w:rsidRPr="00F015CC">
              <w:rPr>
                <w:rFonts w:cstheme="minorHAnsi"/>
                <w:b/>
                <w:lang w:val="ru-RU"/>
              </w:rPr>
              <w:t>:</w:t>
            </w:r>
          </w:p>
        </w:tc>
        <w:tc>
          <w:tcPr>
            <w:tcW w:w="6237" w:type="dxa"/>
          </w:tcPr>
          <w:p w14:paraId="6E621D2D" w14:textId="77777777" w:rsidR="00493B1D" w:rsidRPr="00F015CC" w:rsidRDefault="00AB2E13" w:rsidP="00F015CC">
            <w:pPr>
              <w:spacing w:after="160"/>
              <w:rPr>
                <w:rFonts w:cstheme="minorHAnsi"/>
                <w:b/>
              </w:rPr>
            </w:pPr>
            <w:r w:rsidRPr="00F015CC">
              <w:rPr>
                <w:rFonts w:cstheme="minorHAnsi"/>
              </w:rPr>
              <w:t>Strengthening capacities for sustainable development finance in the Commonwealth of Independent States (CIS) region</w:t>
            </w:r>
          </w:p>
        </w:tc>
      </w:tr>
      <w:tr w:rsidR="00493B1D" w:rsidRPr="00F015CC" w14:paraId="200CCE8F" w14:textId="77777777" w:rsidTr="00493B1D">
        <w:tc>
          <w:tcPr>
            <w:tcW w:w="3369" w:type="dxa"/>
          </w:tcPr>
          <w:p w14:paraId="1D07DD24" w14:textId="77777777" w:rsidR="00493B1D" w:rsidRPr="00F015CC" w:rsidRDefault="00493B1D" w:rsidP="00F015CC">
            <w:pPr>
              <w:spacing w:after="160"/>
              <w:rPr>
                <w:rFonts w:cstheme="minorHAnsi"/>
                <w:b/>
                <w:lang w:val="ru-RU"/>
              </w:rPr>
            </w:pPr>
            <w:proofErr w:type="spellStart"/>
            <w:r w:rsidRPr="00F015CC">
              <w:rPr>
                <w:rFonts w:cstheme="minorHAnsi"/>
                <w:b/>
                <w:lang w:val="ru-RU"/>
              </w:rPr>
              <w:t>Project</w:t>
            </w:r>
            <w:proofErr w:type="spellEnd"/>
            <w:r w:rsidRPr="00F015CC">
              <w:rPr>
                <w:rFonts w:cstheme="minorHAnsi"/>
                <w:b/>
                <w:lang w:val="ru-RU"/>
              </w:rPr>
              <w:t xml:space="preserve"> ID: </w:t>
            </w:r>
          </w:p>
        </w:tc>
        <w:tc>
          <w:tcPr>
            <w:tcW w:w="6237" w:type="dxa"/>
          </w:tcPr>
          <w:p w14:paraId="51BB788E" w14:textId="77777777" w:rsidR="00493B1D" w:rsidRPr="00F015CC" w:rsidRDefault="00493B1D" w:rsidP="00F015CC">
            <w:pPr>
              <w:spacing w:after="160"/>
              <w:rPr>
                <w:rFonts w:cstheme="minorHAnsi"/>
                <w:b/>
              </w:rPr>
            </w:pPr>
            <w:r w:rsidRPr="00F015CC">
              <w:rPr>
                <w:rFonts w:cstheme="minorHAnsi"/>
              </w:rPr>
              <w:t>00107048</w:t>
            </w:r>
          </w:p>
        </w:tc>
      </w:tr>
      <w:tr w:rsidR="00493B1D" w:rsidRPr="00F015CC" w14:paraId="7A315BE8" w14:textId="77777777" w:rsidTr="00493B1D">
        <w:tc>
          <w:tcPr>
            <w:tcW w:w="3369" w:type="dxa"/>
          </w:tcPr>
          <w:p w14:paraId="265CF7CD" w14:textId="77777777" w:rsidR="00493B1D" w:rsidRPr="00F015CC" w:rsidRDefault="00493B1D" w:rsidP="00F015CC">
            <w:pPr>
              <w:spacing w:after="160"/>
              <w:rPr>
                <w:rFonts w:cstheme="minorHAnsi"/>
                <w:b/>
                <w:lang w:val="ru-RU"/>
              </w:rPr>
            </w:pPr>
            <w:proofErr w:type="spellStart"/>
            <w:r w:rsidRPr="00F015CC">
              <w:rPr>
                <w:rFonts w:cstheme="minorHAnsi"/>
                <w:b/>
                <w:lang w:val="ru-RU"/>
              </w:rPr>
              <w:t>Implementing</w:t>
            </w:r>
            <w:proofErr w:type="spellEnd"/>
            <w:r w:rsidRPr="00F015CC">
              <w:rPr>
                <w:rFonts w:cstheme="minorHAnsi"/>
                <w:b/>
                <w:lang w:val="ru-RU"/>
              </w:rPr>
              <w:t xml:space="preserve"> </w:t>
            </w:r>
            <w:proofErr w:type="spellStart"/>
            <w:r w:rsidRPr="00F015CC">
              <w:rPr>
                <w:rFonts w:cstheme="minorHAnsi"/>
                <w:b/>
                <w:lang w:val="ru-RU"/>
              </w:rPr>
              <w:t>partner</w:t>
            </w:r>
            <w:proofErr w:type="spellEnd"/>
            <w:r w:rsidRPr="00F015CC">
              <w:rPr>
                <w:rFonts w:cstheme="minorHAnsi"/>
                <w:b/>
                <w:lang w:val="ru-RU"/>
              </w:rPr>
              <w:t xml:space="preserve">: </w:t>
            </w:r>
          </w:p>
        </w:tc>
        <w:tc>
          <w:tcPr>
            <w:tcW w:w="6237" w:type="dxa"/>
          </w:tcPr>
          <w:p w14:paraId="579B419F" w14:textId="77777777" w:rsidR="00493B1D" w:rsidRPr="00F015CC" w:rsidRDefault="001B11FC" w:rsidP="00F015CC">
            <w:pPr>
              <w:spacing w:after="160"/>
              <w:rPr>
                <w:rFonts w:cstheme="minorHAnsi"/>
              </w:rPr>
            </w:pPr>
            <w:r w:rsidRPr="00F015CC">
              <w:rPr>
                <w:rFonts w:cstheme="minorHAnsi"/>
              </w:rPr>
              <w:t xml:space="preserve">The </w:t>
            </w:r>
            <w:r w:rsidR="00AB2E13" w:rsidRPr="00F015CC">
              <w:rPr>
                <w:rFonts w:cstheme="minorHAnsi"/>
              </w:rPr>
              <w:t>Ministry of Economy of the KR, RKDF, EDB</w:t>
            </w:r>
          </w:p>
        </w:tc>
      </w:tr>
      <w:tr w:rsidR="00493B1D" w:rsidRPr="00F015CC" w14:paraId="1DCD4838" w14:textId="77777777" w:rsidTr="00493B1D">
        <w:tc>
          <w:tcPr>
            <w:tcW w:w="3369" w:type="dxa"/>
          </w:tcPr>
          <w:p w14:paraId="529FC9BE" w14:textId="77777777" w:rsidR="00493B1D" w:rsidRPr="00F015CC" w:rsidRDefault="00493B1D" w:rsidP="00F015CC">
            <w:pPr>
              <w:spacing w:after="160"/>
              <w:rPr>
                <w:rFonts w:cstheme="minorHAnsi"/>
                <w:b/>
                <w:lang w:val="ru-RU"/>
              </w:rPr>
            </w:pPr>
            <w:proofErr w:type="spellStart"/>
            <w:r w:rsidRPr="00F015CC">
              <w:rPr>
                <w:rFonts w:cstheme="minorHAnsi"/>
                <w:b/>
                <w:lang w:val="ru-RU"/>
              </w:rPr>
              <w:t>Project</w:t>
            </w:r>
            <w:proofErr w:type="spellEnd"/>
            <w:r w:rsidRPr="00F015CC">
              <w:rPr>
                <w:rFonts w:cstheme="minorHAnsi"/>
                <w:b/>
                <w:lang w:val="ru-RU"/>
              </w:rPr>
              <w:t xml:space="preserve"> </w:t>
            </w:r>
            <w:proofErr w:type="spellStart"/>
            <w:r w:rsidRPr="00F015CC">
              <w:rPr>
                <w:rFonts w:cstheme="minorHAnsi"/>
                <w:b/>
                <w:lang w:val="ru-RU"/>
              </w:rPr>
              <w:t>budget</w:t>
            </w:r>
            <w:proofErr w:type="spellEnd"/>
            <w:r w:rsidRPr="00F015CC">
              <w:rPr>
                <w:rFonts w:cstheme="minorHAnsi"/>
                <w:b/>
                <w:lang w:val="ru-RU"/>
              </w:rPr>
              <w:t>:</w:t>
            </w:r>
          </w:p>
        </w:tc>
        <w:tc>
          <w:tcPr>
            <w:tcW w:w="6237" w:type="dxa"/>
          </w:tcPr>
          <w:p w14:paraId="570B5E9B" w14:textId="77777777" w:rsidR="00493B1D" w:rsidRPr="00F015CC" w:rsidRDefault="00493B1D" w:rsidP="00F015CC">
            <w:pPr>
              <w:rPr>
                <w:rFonts w:cstheme="minorHAnsi"/>
              </w:rPr>
            </w:pPr>
            <w:r w:rsidRPr="00F015CC">
              <w:rPr>
                <w:rFonts w:cstheme="minorHAnsi"/>
              </w:rPr>
              <w:t xml:space="preserve">USD 1 200 000 </w:t>
            </w:r>
          </w:p>
          <w:p w14:paraId="6A393F51" w14:textId="77777777" w:rsidR="00493B1D" w:rsidRPr="00F015CC" w:rsidRDefault="00AB2E13" w:rsidP="00F015CC">
            <w:pPr>
              <w:rPr>
                <w:rFonts w:cstheme="minorHAnsi"/>
              </w:rPr>
            </w:pPr>
            <w:r w:rsidRPr="00F015CC">
              <w:rPr>
                <w:rFonts w:cstheme="minorHAnsi"/>
              </w:rPr>
              <w:t>UNDP – Russian TDF</w:t>
            </w:r>
            <w:r w:rsidR="00493B1D" w:rsidRPr="00F015CC">
              <w:rPr>
                <w:rFonts w:cstheme="minorHAnsi"/>
              </w:rPr>
              <w:t xml:space="preserve"> </w:t>
            </w:r>
          </w:p>
          <w:p w14:paraId="313EEC8E" w14:textId="77777777" w:rsidR="00493B1D" w:rsidRPr="00F015CC" w:rsidRDefault="00493B1D" w:rsidP="00F015CC">
            <w:pPr>
              <w:rPr>
                <w:rFonts w:cstheme="minorHAnsi"/>
              </w:rPr>
            </w:pPr>
          </w:p>
          <w:p w14:paraId="5605CD2A" w14:textId="77777777" w:rsidR="00493B1D" w:rsidRPr="00F015CC" w:rsidRDefault="00493B1D" w:rsidP="00F015CC">
            <w:pPr>
              <w:rPr>
                <w:rFonts w:cstheme="minorHAnsi"/>
              </w:rPr>
            </w:pPr>
            <w:r w:rsidRPr="00F015CC">
              <w:rPr>
                <w:rFonts w:cstheme="minorHAnsi"/>
              </w:rPr>
              <w:t xml:space="preserve">USD 120 000 </w:t>
            </w:r>
          </w:p>
          <w:p w14:paraId="379CAC56" w14:textId="77777777" w:rsidR="00493B1D" w:rsidRPr="00F015CC" w:rsidRDefault="00AB2E13" w:rsidP="00F015CC">
            <w:pPr>
              <w:rPr>
                <w:rFonts w:cstheme="minorHAnsi"/>
              </w:rPr>
            </w:pPr>
            <w:r w:rsidRPr="00F015CC">
              <w:rPr>
                <w:rFonts w:cstheme="minorHAnsi"/>
              </w:rPr>
              <w:t xml:space="preserve">EDB </w:t>
            </w:r>
            <w:r w:rsidR="00493B1D" w:rsidRPr="00F015CC">
              <w:rPr>
                <w:rFonts w:cstheme="minorHAnsi"/>
              </w:rPr>
              <w:t>(</w:t>
            </w:r>
            <w:r w:rsidRPr="00F015CC">
              <w:rPr>
                <w:rFonts w:cstheme="minorHAnsi"/>
              </w:rPr>
              <w:t>parallel funding</w:t>
            </w:r>
            <w:r w:rsidR="00493B1D" w:rsidRPr="00F015CC">
              <w:rPr>
                <w:rFonts w:cstheme="minorHAnsi"/>
              </w:rPr>
              <w:t>)</w:t>
            </w:r>
          </w:p>
          <w:p w14:paraId="108C1E2F" w14:textId="77777777" w:rsidR="00493B1D" w:rsidRPr="00F015CC" w:rsidRDefault="00493B1D" w:rsidP="00F015CC">
            <w:pPr>
              <w:rPr>
                <w:rFonts w:cstheme="minorHAnsi"/>
              </w:rPr>
            </w:pPr>
          </w:p>
          <w:p w14:paraId="6A6EBABA" w14:textId="77777777" w:rsidR="00493B1D" w:rsidRPr="00F015CC" w:rsidRDefault="00493B1D" w:rsidP="00F015CC">
            <w:pPr>
              <w:rPr>
                <w:rFonts w:cstheme="minorHAnsi"/>
              </w:rPr>
            </w:pPr>
            <w:r w:rsidRPr="00F015CC">
              <w:rPr>
                <w:rFonts w:cstheme="minorHAnsi"/>
              </w:rPr>
              <w:t xml:space="preserve">USD 91 000 </w:t>
            </w:r>
          </w:p>
          <w:p w14:paraId="34FE609D" w14:textId="77777777" w:rsidR="00493B1D" w:rsidRPr="00F015CC" w:rsidRDefault="000776EF" w:rsidP="00F015CC">
            <w:pPr>
              <w:rPr>
                <w:rFonts w:cstheme="minorHAnsi"/>
              </w:rPr>
            </w:pPr>
            <w:r w:rsidRPr="00F015CC">
              <w:rPr>
                <w:rFonts w:cstheme="minorHAnsi"/>
              </w:rPr>
              <w:t>UNDP</w:t>
            </w:r>
            <w:r w:rsidR="00493B1D" w:rsidRPr="00F015CC">
              <w:rPr>
                <w:rFonts w:cstheme="minorHAnsi"/>
              </w:rPr>
              <w:t xml:space="preserve"> (</w:t>
            </w:r>
            <w:proofErr w:type="spellStart"/>
            <w:r w:rsidR="00493B1D" w:rsidRPr="00F015CC">
              <w:rPr>
                <w:rFonts w:cstheme="minorHAnsi"/>
              </w:rPr>
              <w:t>со</w:t>
            </w:r>
            <w:proofErr w:type="spellEnd"/>
            <w:r w:rsidRPr="00F015CC">
              <w:rPr>
                <w:rFonts w:cstheme="minorHAnsi"/>
              </w:rPr>
              <w:t>-funding</w:t>
            </w:r>
            <w:r w:rsidR="00493B1D" w:rsidRPr="00F015CC">
              <w:rPr>
                <w:rFonts w:cstheme="minorHAnsi"/>
              </w:rPr>
              <w:t>)</w:t>
            </w:r>
          </w:p>
        </w:tc>
      </w:tr>
      <w:tr w:rsidR="00493B1D" w:rsidRPr="00F015CC" w14:paraId="01B533DA" w14:textId="77777777" w:rsidTr="00493B1D">
        <w:tc>
          <w:tcPr>
            <w:tcW w:w="3369" w:type="dxa"/>
          </w:tcPr>
          <w:p w14:paraId="6758565F" w14:textId="77777777" w:rsidR="00493B1D" w:rsidRPr="00F015CC" w:rsidRDefault="00493B1D" w:rsidP="00F015CC">
            <w:pPr>
              <w:spacing w:after="160"/>
              <w:rPr>
                <w:rFonts w:cstheme="minorHAnsi"/>
                <w:b/>
              </w:rPr>
            </w:pPr>
            <w:r w:rsidRPr="00F015CC">
              <w:rPr>
                <w:rFonts w:cstheme="minorHAnsi"/>
                <w:b/>
              </w:rPr>
              <w:t>Project start and end date:</w:t>
            </w:r>
          </w:p>
        </w:tc>
        <w:tc>
          <w:tcPr>
            <w:tcW w:w="6237" w:type="dxa"/>
          </w:tcPr>
          <w:p w14:paraId="42F66609" w14:textId="77777777" w:rsidR="00493B1D" w:rsidRPr="00F015CC" w:rsidRDefault="000776EF" w:rsidP="00F015CC">
            <w:pPr>
              <w:spacing w:after="160"/>
              <w:rPr>
                <w:rFonts w:cstheme="minorHAnsi"/>
                <w:b/>
                <w:lang w:val="ru-RU"/>
              </w:rPr>
            </w:pPr>
            <w:r w:rsidRPr="00F015CC">
              <w:rPr>
                <w:rFonts w:cstheme="minorHAnsi"/>
              </w:rPr>
              <w:t>November</w:t>
            </w:r>
            <w:r w:rsidR="00493B1D" w:rsidRPr="00F015CC">
              <w:rPr>
                <w:rFonts w:cstheme="minorHAnsi"/>
              </w:rPr>
              <w:t xml:space="preserve"> 2017 </w:t>
            </w:r>
            <w:r w:rsidR="004E123B" w:rsidRPr="00F015CC">
              <w:rPr>
                <w:rFonts w:cstheme="minorHAnsi"/>
              </w:rPr>
              <w:t>–</w:t>
            </w:r>
            <w:r w:rsidR="004E123B" w:rsidRPr="00F015CC">
              <w:rPr>
                <w:rFonts w:cstheme="minorHAnsi"/>
                <w:lang w:val="ru-RU"/>
              </w:rPr>
              <w:t xml:space="preserve"> </w:t>
            </w:r>
            <w:r w:rsidR="004E123B" w:rsidRPr="00F015CC">
              <w:rPr>
                <w:rFonts w:cstheme="minorHAnsi"/>
              </w:rPr>
              <w:t>October</w:t>
            </w:r>
            <w:r w:rsidRPr="00F015CC">
              <w:rPr>
                <w:rFonts w:cstheme="minorHAnsi"/>
              </w:rPr>
              <w:t xml:space="preserve"> </w:t>
            </w:r>
            <w:r w:rsidR="00493B1D" w:rsidRPr="00F015CC">
              <w:rPr>
                <w:rFonts w:cstheme="minorHAnsi"/>
                <w:lang w:val="ru-RU"/>
              </w:rPr>
              <w:t>2</w:t>
            </w:r>
            <w:r w:rsidR="00493B1D" w:rsidRPr="00F015CC">
              <w:rPr>
                <w:rFonts w:cstheme="minorHAnsi"/>
              </w:rPr>
              <w:t>0</w:t>
            </w:r>
            <w:r w:rsidR="00493B1D" w:rsidRPr="00F015CC">
              <w:rPr>
                <w:rFonts w:cstheme="minorHAnsi"/>
                <w:lang w:val="ru-RU"/>
              </w:rPr>
              <w:t xml:space="preserve">20 </w:t>
            </w:r>
          </w:p>
        </w:tc>
      </w:tr>
      <w:tr w:rsidR="00493B1D" w:rsidRPr="00F015CC" w14:paraId="2BE60443" w14:textId="77777777" w:rsidTr="00493B1D">
        <w:tc>
          <w:tcPr>
            <w:tcW w:w="3369" w:type="dxa"/>
          </w:tcPr>
          <w:p w14:paraId="1F92D7BD" w14:textId="77777777" w:rsidR="00493B1D" w:rsidRPr="00F015CC" w:rsidRDefault="00493B1D" w:rsidP="00F015CC">
            <w:pPr>
              <w:spacing w:after="160"/>
              <w:rPr>
                <w:rFonts w:cstheme="minorHAnsi"/>
                <w:b/>
              </w:rPr>
            </w:pPr>
            <w:r w:rsidRPr="00F015CC">
              <w:rPr>
                <w:rFonts w:cstheme="minorHAnsi"/>
                <w:b/>
              </w:rPr>
              <w:t>Period covered in this report:</w:t>
            </w:r>
          </w:p>
        </w:tc>
        <w:tc>
          <w:tcPr>
            <w:tcW w:w="6237" w:type="dxa"/>
          </w:tcPr>
          <w:p w14:paraId="5F6B2136" w14:textId="77777777" w:rsidR="00493B1D" w:rsidRPr="00F015CC" w:rsidRDefault="000776EF" w:rsidP="00F015CC">
            <w:pPr>
              <w:spacing w:after="160"/>
              <w:rPr>
                <w:rFonts w:cstheme="minorHAnsi"/>
                <w:b/>
                <w:lang w:val="ru-RU"/>
              </w:rPr>
            </w:pPr>
            <w:r w:rsidRPr="00F015CC">
              <w:rPr>
                <w:rFonts w:cstheme="minorHAnsi"/>
              </w:rPr>
              <w:t>January</w:t>
            </w:r>
            <w:r w:rsidR="00493B1D" w:rsidRPr="00F015CC">
              <w:rPr>
                <w:rFonts w:cstheme="minorHAnsi"/>
                <w:lang w:val="ru-RU"/>
              </w:rPr>
              <w:t xml:space="preserve"> - </w:t>
            </w:r>
            <w:r w:rsidR="00911AD9">
              <w:rPr>
                <w:rFonts w:cstheme="minorHAnsi"/>
              </w:rPr>
              <w:t>December</w:t>
            </w:r>
            <w:r w:rsidR="00493B1D" w:rsidRPr="00F015CC">
              <w:rPr>
                <w:rFonts w:cstheme="minorHAnsi"/>
                <w:lang w:val="ru-RU"/>
              </w:rPr>
              <w:t xml:space="preserve"> 2019 </w:t>
            </w:r>
          </w:p>
        </w:tc>
      </w:tr>
      <w:tr w:rsidR="00493B1D" w:rsidRPr="009C6066" w14:paraId="1A2476E5" w14:textId="77777777" w:rsidTr="00493B1D">
        <w:tc>
          <w:tcPr>
            <w:tcW w:w="3369" w:type="dxa"/>
          </w:tcPr>
          <w:p w14:paraId="323E4A8B" w14:textId="77777777" w:rsidR="00493B1D" w:rsidRPr="00F015CC" w:rsidRDefault="00493B1D" w:rsidP="00F015CC">
            <w:pPr>
              <w:spacing w:after="160"/>
              <w:rPr>
                <w:rFonts w:cstheme="minorHAnsi"/>
                <w:b/>
              </w:rPr>
            </w:pPr>
            <w:r w:rsidRPr="00F015CC">
              <w:rPr>
                <w:rFonts w:cstheme="minorHAnsi"/>
                <w:b/>
              </w:rPr>
              <w:t>SDGs supported by the project:</w:t>
            </w:r>
          </w:p>
        </w:tc>
        <w:tc>
          <w:tcPr>
            <w:tcW w:w="6237" w:type="dxa"/>
          </w:tcPr>
          <w:p w14:paraId="4F5E23EA" w14:textId="77777777" w:rsidR="00493B1D" w:rsidRPr="004771FE" w:rsidRDefault="00493B1D" w:rsidP="00F015CC">
            <w:pPr>
              <w:spacing w:after="160"/>
              <w:rPr>
                <w:rFonts w:cstheme="minorHAnsi"/>
              </w:rPr>
            </w:pPr>
            <w:r w:rsidRPr="004771FE">
              <w:rPr>
                <w:rFonts w:cstheme="minorHAnsi"/>
              </w:rPr>
              <w:t xml:space="preserve">1 (1.4.); 5 (5 </w:t>
            </w:r>
            <w:r w:rsidRPr="00F015CC">
              <w:rPr>
                <w:rFonts w:cstheme="minorHAnsi"/>
              </w:rPr>
              <w:t>a</w:t>
            </w:r>
            <w:r w:rsidRPr="004771FE">
              <w:rPr>
                <w:rFonts w:cstheme="minorHAnsi"/>
              </w:rPr>
              <w:t xml:space="preserve">); 8; 9; 12; 17. </w:t>
            </w:r>
          </w:p>
          <w:p w14:paraId="1ABE85EC" w14:textId="45728CB4" w:rsidR="009C6066" w:rsidRPr="009C6066" w:rsidRDefault="009C6066" w:rsidP="00F015CC">
            <w:pPr>
              <w:spacing w:after="160"/>
              <w:rPr>
                <w:rFonts w:cstheme="minorHAnsi"/>
                <w:b/>
              </w:rPr>
            </w:pPr>
            <w:r w:rsidRPr="009C6066">
              <w:rPr>
                <w:rFonts w:cstheme="minorHAnsi"/>
              </w:rPr>
              <w:t xml:space="preserve">The list is </w:t>
            </w:r>
            <w:r w:rsidR="004771FE">
              <w:rPr>
                <w:rFonts w:cstheme="minorHAnsi"/>
              </w:rPr>
              <w:t>on the</w:t>
            </w:r>
            <w:r w:rsidRPr="009C6066">
              <w:rPr>
                <w:rFonts w:cstheme="minorHAnsi"/>
              </w:rPr>
              <w:t xml:space="preserve"> page 3</w:t>
            </w:r>
          </w:p>
        </w:tc>
      </w:tr>
    </w:tbl>
    <w:p w14:paraId="03F1DF99" w14:textId="77777777" w:rsidR="007C260C" w:rsidRPr="009C6066" w:rsidRDefault="007C260C" w:rsidP="00F015CC">
      <w:pPr>
        <w:pStyle w:val="BodyText"/>
        <w:tabs>
          <w:tab w:val="left" w:pos="7452"/>
        </w:tabs>
        <w:spacing w:after="160"/>
        <w:outlineLvl w:val="0"/>
        <w:rPr>
          <w:rFonts w:asciiTheme="minorHAnsi" w:hAnsiTheme="minorHAnsi" w:cstheme="minorHAnsi"/>
          <w:color w:val="000000"/>
          <w:sz w:val="22"/>
          <w:szCs w:val="22"/>
        </w:rPr>
      </w:pPr>
    </w:p>
    <w:p w14:paraId="7A196C87" w14:textId="77777777" w:rsidR="00E71D5A" w:rsidRDefault="00E71D5A" w:rsidP="00F015CC">
      <w:pPr>
        <w:pStyle w:val="a"/>
        <w:spacing w:before="0" w:after="160" w:line="240" w:lineRule="auto"/>
        <w:rPr>
          <w:rFonts w:cstheme="minorHAnsi"/>
          <w:sz w:val="22"/>
          <w:szCs w:val="22"/>
          <w:lang w:val="en-US"/>
        </w:rPr>
      </w:pPr>
      <w:bookmarkStart w:id="1" w:name="_Toc503973932"/>
    </w:p>
    <w:p w14:paraId="1B20E31F" w14:textId="77777777" w:rsidR="00E71D5A" w:rsidRDefault="00E71D5A" w:rsidP="00F015CC">
      <w:pPr>
        <w:pStyle w:val="a"/>
        <w:spacing w:before="0" w:after="160" w:line="240" w:lineRule="auto"/>
        <w:rPr>
          <w:rFonts w:cstheme="minorHAnsi"/>
          <w:sz w:val="22"/>
          <w:szCs w:val="22"/>
          <w:lang w:val="en-US"/>
        </w:rPr>
      </w:pPr>
    </w:p>
    <w:p w14:paraId="711BB118" w14:textId="3C657406" w:rsidR="001B11FC" w:rsidRPr="00F015CC" w:rsidRDefault="00002FDE" w:rsidP="00F015CC">
      <w:pPr>
        <w:pStyle w:val="a"/>
        <w:spacing w:before="0" w:after="160" w:line="240" w:lineRule="auto"/>
        <w:rPr>
          <w:rFonts w:cstheme="minorHAnsi"/>
          <w:sz w:val="22"/>
          <w:szCs w:val="22"/>
          <w:lang w:val="en-US"/>
        </w:rPr>
      </w:pPr>
      <w:r w:rsidRPr="00F015CC">
        <w:rPr>
          <w:rFonts w:cstheme="minorHAnsi"/>
          <w:sz w:val="22"/>
          <w:szCs w:val="22"/>
          <w:lang w:val="en-US"/>
        </w:rPr>
        <w:t xml:space="preserve">1. </w:t>
      </w:r>
      <w:r w:rsidR="00F20C71" w:rsidRPr="00F015CC">
        <w:rPr>
          <w:rFonts w:cstheme="minorHAnsi"/>
          <w:sz w:val="22"/>
          <w:szCs w:val="22"/>
          <w:lang w:val="en-US"/>
        </w:rPr>
        <w:t>PROJECT INFORMATION</w:t>
      </w:r>
      <w:bookmarkEnd w:id="1"/>
    </w:p>
    <w:p w14:paraId="32B468A1" w14:textId="213D64DC" w:rsidR="00427C6C" w:rsidRDefault="005539EA" w:rsidP="009C2496">
      <w:pPr>
        <w:spacing w:line="240" w:lineRule="auto"/>
        <w:jc w:val="both"/>
        <w:rPr>
          <w:rFonts w:cstheme="minorHAnsi"/>
        </w:rPr>
      </w:pPr>
      <w:r w:rsidRPr="00F015CC">
        <w:rPr>
          <w:rFonts w:cstheme="minorHAnsi"/>
        </w:rPr>
        <w:t>T</w:t>
      </w:r>
      <w:r w:rsidR="00F20C71" w:rsidRPr="00F015CC">
        <w:rPr>
          <w:rFonts w:cstheme="minorHAnsi"/>
        </w:rPr>
        <w:t>he project</w:t>
      </w:r>
      <w:r w:rsidR="004E123B">
        <w:rPr>
          <w:rFonts w:cstheme="minorHAnsi"/>
        </w:rPr>
        <w:t>’s</w:t>
      </w:r>
      <w:r w:rsidR="00F20C71" w:rsidRPr="00F015CC">
        <w:rPr>
          <w:rFonts w:cstheme="minorHAnsi"/>
        </w:rPr>
        <w:t xml:space="preserve"> </w:t>
      </w:r>
      <w:r w:rsidR="00F20C71" w:rsidRPr="00F015CC">
        <w:rPr>
          <w:rFonts w:cstheme="minorHAnsi"/>
          <w:b/>
        </w:rPr>
        <w:t>objective</w:t>
      </w:r>
      <w:r w:rsidR="00F20C71" w:rsidRPr="00F015CC">
        <w:rPr>
          <w:rFonts w:cstheme="minorHAnsi"/>
        </w:rPr>
        <w:t xml:space="preserve"> is to raise awareness and strengthen capacities of ministries and governmental agencies, national financial institutions, business entities and entrepreneurs in dealing with international financial institutions’ (</w:t>
      </w:r>
      <w:r w:rsidR="0001439E">
        <w:rPr>
          <w:rFonts w:cstheme="minorHAnsi"/>
        </w:rPr>
        <w:t xml:space="preserve">hereinafter referred to as </w:t>
      </w:r>
      <w:r w:rsidR="00F20C71" w:rsidRPr="009C6066">
        <w:rPr>
          <w:rFonts w:cstheme="minorHAnsi"/>
        </w:rPr>
        <w:t>IFI</w:t>
      </w:r>
      <w:r w:rsidR="0001439E" w:rsidRPr="009C6066">
        <w:rPr>
          <w:rFonts w:cstheme="minorHAnsi"/>
        </w:rPr>
        <w:t>s</w:t>
      </w:r>
      <w:r w:rsidR="00F20C71" w:rsidRPr="00F015CC">
        <w:rPr>
          <w:rFonts w:cstheme="minorHAnsi"/>
        </w:rPr>
        <w:t>) projects in the Commonwealth of Independent States countries</w:t>
      </w:r>
      <w:r w:rsidR="009C6066">
        <w:rPr>
          <w:rFonts w:cstheme="minorHAnsi"/>
        </w:rPr>
        <w:t xml:space="preserve"> (</w:t>
      </w:r>
      <w:r w:rsidR="009C6066" w:rsidRPr="009C6066">
        <w:rPr>
          <w:rFonts w:cstheme="minorHAnsi"/>
        </w:rPr>
        <w:t>Armenia, Belarus, Kazakhstan, Kyrgyzstan, and Tajikistan, including clients of the Eurasian Development Bank)</w:t>
      </w:r>
      <w:r w:rsidR="00F20C71" w:rsidRPr="00F015CC">
        <w:rPr>
          <w:rFonts w:cstheme="minorHAnsi"/>
        </w:rPr>
        <w:t xml:space="preserve"> (</w:t>
      </w:r>
      <w:r w:rsidR="0001439E">
        <w:rPr>
          <w:rFonts w:cstheme="minorHAnsi"/>
        </w:rPr>
        <w:t xml:space="preserve">hereinafter referred to as </w:t>
      </w:r>
      <w:r w:rsidR="00F20C71" w:rsidRPr="0001439E">
        <w:rPr>
          <w:rFonts w:cstheme="minorHAnsi"/>
          <w:b/>
          <w:bCs/>
        </w:rPr>
        <w:t>CIS</w:t>
      </w:r>
      <w:r w:rsidR="00F20C71" w:rsidRPr="00F015CC">
        <w:rPr>
          <w:rFonts w:cstheme="minorHAnsi"/>
        </w:rPr>
        <w:t>).</w:t>
      </w:r>
    </w:p>
    <w:p w14:paraId="4E1EAB2D" w14:textId="77777777" w:rsidR="005539EA" w:rsidRPr="00F015CC" w:rsidRDefault="00427C6C" w:rsidP="009C2496">
      <w:pPr>
        <w:spacing w:line="240" w:lineRule="auto"/>
        <w:jc w:val="both"/>
        <w:rPr>
          <w:rFonts w:cstheme="minorHAnsi"/>
        </w:rPr>
      </w:pPr>
      <w:r>
        <w:rPr>
          <w:rFonts w:cstheme="minorHAnsi"/>
        </w:rPr>
        <w:t>The a</w:t>
      </w:r>
      <w:r w:rsidR="005539EA" w:rsidRPr="00F015CC">
        <w:rPr>
          <w:rFonts w:cstheme="minorHAnsi"/>
        </w:rPr>
        <w:t xml:space="preserve">chievement of the following </w:t>
      </w:r>
      <w:r w:rsidR="005539EA" w:rsidRPr="00F015CC">
        <w:rPr>
          <w:rFonts w:cstheme="minorHAnsi"/>
          <w:b/>
        </w:rPr>
        <w:t>results</w:t>
      </w:r>
      <w:r w:rsidR="005539EA" w:rsidRPr="00F015CC">
        <w:rPr>
          <w:rFonts w:cstheme="minorHAnsi"/>
        </w:rPr>
        <w:t xml:space="preserve"> shall support this objective:</w:t>
      </w:r>
    </w:p>
    <w:p w14:paraId="0999AA27" w14:textId="77777777" w:rsidR="005539EA" w:rsidRPr="00F015CC" w:rsidRDefault="005539EA" w:rsidP="009C2496">
      <w:pPr>
        <w:pStyle w:val="ListParagraph"/>
        <w:numPr>
          <w:ilvl w:val="0"/>
          <w:numId w:val="9"/>
        </w:numPr>
        <w:spacing w:after="160"/>
        <w:jc w:val="both"/>
        <w:rPr>
          <w:rFonts w:asciiTheme="minorHAnsi" w:eastAsiaTheme="minorHAnsi" w:hAnsiTheme="minorHAnsi" w:cstheme="minorHAnsi"/>
          <w:b w:val="0"/>
          <w:sz w:val="22"/>
          <w:szCs w:val="22"/>
          <w:lang w:val="en-US"/>
        </w:rPr>
      </w:pPr>
      <w:r w:rsidRPr="00F015CC">
        <w:rPr>
          <w:rFonts w:asciiTheme="minorHAnsi" w:eastAsiaTheme="minorHAnsi" w:hAnsiTheme="minorHAnsi" w:cstheme="minorHAnsi"/>
          <w:b w:val="0"/>
          <w:sz w:val="22"/>
          <w:szCs w:val="22"/>
          <w:lang w:val="en-US"/>
        </w:rPr>
        <w:t xml:space="preserve">Building capacity for </w:t>
      </w:r>
      <w:r w:rsidR="00427C6C" w:rsidRPr="00F015CC">
        <w:rPr>
          <w:rFonts w:asciiTheme="minorHAnsi" w:eastAsiaTheme="minorHAnsi" w:hAnsiTheme="minorHAnsi" w:cstheme="minorHAnsi"/>
          <w:b w:val="0"/>
          <w:sz w:val="22"/>
          <w:szCs w:val="22"/>
          <w:lang w:val="en-US"/>
        </w:rPr>
        <w:t>preparation and implementation</w:t>
      </w:r>
      <w:r w:rsidR="00427C6C">
        <w:rPr>
          <w:rFonts w:asciiTheme="minorHAnsi" w:eastAsiaTheme="minorHAnsi" w:hAnsiTheme="minorHAnsi" w:cstheme="minorHAnsi"/>
          <w:b w:val="0"/>
          <w:sz w:val="22"/>
          <w:szCs w:val="22"/>
          <w:lang w:val="en-US"/>
        </w:rPr>
        <w:t xml:space="preserve"> of</w:t>
      </w:r>
      <w:r w:rsidR="00427C6C" w:rsidRPr="00F015CC">
        <w:rPr>
          <w:rFonts w:asciiTheme="minorHAnsi" w:eastAsiaTheme="minorHAnsi" w:hAnsiTheme="minorHAnsi" w:cstheme="minorHAnsi"/>
          <w:b w:val="0"/>
          <w:sz w:val="22"/>
          <w:szCs w:val="22"/>
          <w:lang w:val="en-US"/>
        </w:rPr>
        <w:t xml:space="preserve"> </w:t>
      </w:r>
      <w:r w:rsidRPr="00F015CC">
        <w:rPr>
          <w:rFonts w:asciiTheme="minorHAnsi" w:eastAsiaTheme="minorHAnsi" w:hAnsiTheme="minorHAnsi" w:cstheme="minorHAnsi"/>
          <w:b w:val="0"/>
          <w:sz w:val="22"/>
          <w:szCs w:val="22"/>
          <w:lang w:val="en-US"/>
        </w:rPr>
        <w:t>investment development projects in the Kyrgyz Republic</w:t>
      </w:r>
      <w:r w:rsidR="00427C6C">
        <w:rPr>
          <w:rFonts w:asciiTheme="minorHAnsi" w:eastAsiaTheme="minorHAnsi" w:hAnsiTheme="minorHAnsi" w:cstheme="minorHAnsi"/>
          <w:b w:val="0"/>
          <w:sz w:val="22"/>
          <w:szCs w:val="22"/>
          <w:lang w:val="en-US"/>
        </w:rPr>
        <w:t>;</w:t>
      </w:r>
    </w:p>
    <w:p w14:paraId="6721549C" w14:textId="77777777" w:rsidR="005539EA" w:rsidRPr="00F015CC" w:rsidRDefault="005539EA" w:rsidP="009C2496">
      <w:pPr>
        <w:pStyle w:val="ListParagraph"/>
        <w:numPr>
          <w:ilvl w:val="0"/>
          <w:numId w:val="9"/>
        </w:numPr>
        <w:spacing w:after="160"/>
        <w:jc w:val="both"/>
        <w:rPr>
          <w:rFonts w:asciiTheme="minorHAnsi" w:eastAsiaTheme="minorHAnsi" w:hAnsiTheme="minorHAnsi" w:cstheme="minorHAnsi"/>
          <w:b w:val="0"/>
          <w:sz w:val="22"/>
          <w:szCs w:val="22"/>
          <w:lang w:val="en-US"/>
        </w:rPr>
      </w:pPr>
      <w:r w:rsidRPr="00F015CC">
        <w:rPr>
          <w:rFonts w:asciiTheme="minorHAnsi" w:eastAsiaTheme="minorHAnsi" w:hAnsiTheme="minorHAnsi" w:cstheme="minorHAnsi"/>
          <w:b w:val="0"/>
          <w:sz w:val="22"/>
          <w:szCs w:val="22"/>
          <w:lang w:val="en-US"/>
        </w:rPr>
        <w:t>Building capacity of the CIS member-states in accessing new development finance sources</w:t>
      </w:r>
      <w:r w:rsidR="001B11FC" w:rsidRPr="00F015CC">
        <w:rPr>
          <w:rFonts w:asciiTheme="minorHAnsi" w:eastAsiaTheme="minorHAnsi" w:hAnsiTheme="minorHAnsi" w:cstheme="minorHAnsi"/>
          <w:b w:val="0"/>
          <w:sz w:val="22"/>
          <w:szCs w:val="22"/>
          <w:lang w:val="en-US"/>
        </w:rPr>
        <w:t>.</w:t>
      </w:r>
    </w:p>
    <w:p w14:paraId="04B7D897" w14:textId="77777777" w:rsidR="00286BD1" w:rsidRPr="00F015CC" w:rsidRDefault="00286BD1" w:rsidP="009C2496">
      <w:pPr>
        <w:spacing w:line="240" w:lineRule="auto"/>
        <w:jc w:val="both"/>
        <w:rPr>
          <w:rFonts w:cstheme="minorHAnsi"/>
        </w:rPr>
      </w:pPr>
      <w:r w:rsidRPr="00F015CC">
        <w:rPr>
          <w:rFonts w:cstheme="minorHAnsi"/>
        </w:rPr>
        <w:t xml:space="preserve">The following two </w:t>
      </w:r>
      <w:r w:rsidRPr="00F015CC">
        <w:rPr>
          <w:rFonts w:cstheme="minorHAnsi"/>
          <w:b/>
        </w:rPr>
        <w:t>activities</w:t>
      </w:r>
      <w:r w:rsidRPr="00F015CC">
        <w:rPr>
          <w:rFonts w:cstheme="minorHAnsi"/>
        </w:rPr>
        <w:t xml:space="preserve"> shall contribute to the achievement of these results:</w:t>
      </w:r>
    </w:p>
    <w:p w14:paraId="1BFCCC42" w14:textId="00B938A4" w:rsidR="00286BD1" w:rsidRPr="00F015CC" w:rsidRDefault="00286BD1" w:rsidP="009C2496">
      <w:pPr>
        <w:spacing w:line="240" w:lineRule="auto"/>
        <w:jc w:val="both"/>
        <w:rPr>
          <w:rFonts w:cstheme="minorHAnsi"/>
        </w:rPr>
      </w:pPr>
      <w:r w:rsidRPr="00F015CC">
        <w:rPr>
          <w:rFonts w:cstheme="minorHAnsi"/>
          <w:b/>
        </w:rPr>
        <w:t>Activity 1.</w:t>
      </w:r>
      <w:r w:rsidRPr="00F015CC">
        <w:rPr>
          <w:rFonts w:cstheme="minorHAnsi"/>
        </w:rPr>
        <w:t xml:space="preserve"> Technical assistance to the Kyrgyz Republic in </w:t>
      </w:r>
      <w:r w:rsidR="00657043">
        <w:rPr>
          <w:rFonts w:cstheme="minorHAnsi"/>
        </w:rPr>
        <w:t xml:space="preserve">the </w:t>
      </w:r>
      <w:r w:rsidRPr="00F015CC">
        <w:rPr>
          <w:rFonts w:cstheme="minorHAnsi"/>
        </w:rPr>
        <w:t xml:space="preserve">identification, preparation and implementation of bankable projects for financing from the </w:t>
      </w:r>
      <w:r w:rsidR="008450BF" w:rsidRPr="00F015CC">
        <w:rPr>
          <w:rFonts w:cstheme="minorHAnsi"/>
        </w:rPr>
        <w:t>Russian-Kyrgyz Development Fund</w:t>
      </w:r>
      <w:r w:rsidR="0001439E">
        <w:rPr>
          <w:rFonts w:cstheme="minorHAnsi"/>
        </w:rPr>
        <w:t xml:space="preserve"> (hereinafter referred to as </w:t>
      </w:r>
      <w:r w:rsidR="0001439E" w:rsidRPr="0001439E">
        <w:rPr>
          <w:rFonts w:cstheme="minorHAnsi"/>
          <w:b/>
          <w:bCs/>
        </w:rPr>
        <w:t>RKDF</w:t>
      </w:r>
      <w:r w:rsidR="0001439E">
        <w:rPr>
          <w:rFonts w:cstheme="minorHAnsi"/>
        </w:rPr>
        <w:t>)</w:t>
      </w:r>
      <w:r w:rsidR="008450BF" w:rsidRPr="00F015CC">
        <w:rPr>
          <w:rFonts w:cstheme="minorHAnsi"/>
        </w:rPr>
        <w:t>.</w:t>
      </w:r>
    </w:p>
    <w:p w14:paraId="4C34CAAE" w14:textId="77777777" w:rsidR="00286BD1" w:rsidRPr="00F015CC" w:rsidRDefault="00286BD1" w:rsidP="009C2496">
      <w:pPr>
        <w:spacing w:line="240" w:lineRule="auto"/>
        <w:jc w:val="both"/>
        <w:rPr>
          <w:rFonts w:cstheme="minorHAnsi"/>
        </w:rPr>
      </w:pPr>
      <w:r w:rsidRPr="00F015CC">
        <w:rPr>
          <w:rFonts w:cstheme="minorHAnsi"/>
          <w:b/>
        </w:rPr>
        <w:t>Activity 2.</w:t>
      </w:r>
      <w:r w:rsidRPr="00F015CC">
        <w:rPr>
          <w:rFonts w:cstheme="minorHAnsi"/>
        </w:rPr>
        <w:t> Technical assistance in project preparation for potential financing from the International Financial Institutions to governmental and business entities in Armenia, Belarus, Kazakhstan, Kyrgyzstan, and Tajikistan, including clients of the Eurasian Development Bank</w:t>
      </w:r>
      <w:r w:rsidR="0001439E">
        <w:rPr>
          <w:rFonts w:cstheme="minorHAnsi"/>
        </w:rPr>
        <w:t xml:space="preserve"> (hereinafter referred to as </w:t>
      </w:r>
      <w:r w:rsidR="0001439E" w:rsidRPr="0001439E">
        <w:rPr>
          <w:rFonts w:cstheme="minorHAnsi"/>
          <w:b/>
          <w:bCs/>
        </w:rPr>
        <w:t>EDB</w:t>
      </w:r>
      <w:r w:rsidR="0001439E">
        <w:rPr>
          <w:rFonts w:cstheme="minorHAnsi"/>
        </w:rPr>
        <w:t>)</w:t>
      </w:r>
    </w:p>
    <w:p w14:paraId="205052B9" w14:textId="77777777" w:rsidR="00F015CC" w:rsidRDefault="00F015CC" w:rsidP="00F015CC">
      <w:pPr>
        <w:spacing w:line="240" w:lineRule="auto"/>
        <w:jc w:val="both"/>
        <w:rPr>
          <w:rFonts w:cstheme="minorHAnsi"/>
        </w:rPr>
      </w:pPr>
    </w:p>
    <w:p w14:paraId="4482510F" w14:textId="77777777" w:rsidR="00295E98" w:rsidRPr="00F015CC" w:rsidRDefault="00295E98" w:rsidP="00295E98">
      <w:pPr>
        <w:spacing w:line="240" w:lineRule="auto"/>
        <w:jc w:val="both"/>
        <w:rPr>
          <w:rFonts w:cstheme="minorHAnsi"/>
          <w:b/>
        </w:rPr>
      </w:pPr>
      <w:r w:rsidRPr="00F015CC">
        <w:rPr>
          <w:rFonts w:cstheme="minorHAnsi"/>
          <w:b/>
        </w:rPr>
        <w:t>Contribution to the Achievement of the SDGs</w:t>
      </w:r>
    </w:p>
    <w:p w14:paraId="566C7BB9" w14:textId="5236A1EB" w:rsidR="00295E98" w:rsidRPr="00F015CC" w:rsidRDefault="00295E98" w:rsidP="00295E98">
      <w:pPr>
        <w:spacing w:line="240" w:lineRule="auto"/>
        <w:jc w:val="both"/>
        <w:rPr>
          <w:rFonts w:cstheme="minorHAnsi"/>
          <w:b/>
        </w:rPr>
      </w:pPr>
      <w:r w:rsidRPr="00F015CC">
        <w:rPr>
          <w:rFonts w:cstheme="minorHAnsi"/>
        </w:rPr>
        <w:t>All these completed project activities</w:t>
      </w:r>
      <w:r w:rsidR="00657043">
        <w:rPr>
          <w:rFonts w:cstheme="minorHAnsi"/>
        </w:rPr>
        <w:t>,</w:t>
      </w:r>
      <w:r w:rsidRPr="00F015CC">
        <w:rPr>
          <w:rFonts w:cstheme="minorHAnsi"/>
        </w:rPr>
        <w:t xml:space="preserve"> directly and indirectly</w:t>
      </w:r>
      <w:r w:rsidR="00657043">
        <w:rPr>
          <w:rFonts w:cstheme="minorHAnsi"/>
        </w:rPr>
        <w:t>,</w:t>
      </w:r>
      <w:r w:rsidRPr="00F015CC">
        <w:rPr>
          <w:rFonts w:cstheme="minorHAnsi"/>
        </w:rPr>
        <w:t xml:space="preserve"> contribute to the implementation of the Sustainable Development Goals (</w:t>
      </w:r>
      <w:r w:rsidR="0001439E">
        <w:rPr>
          <w:rFonts w:cstheme="minorHAnsi"/>
        </w:rPr>
        <w:t xml:space="preserve">hereinafter referred to as </w:t>
      </w:r>
      <w:r w:rsidRPr="0001439E">
        <w:rPr>
          <w:rFonts w:cstheme="minorHAnsi"/>
          <w:b/>
          <w:bCs/>
        </w:rPr>
        <w:t>SDGs</w:t>
      </w:r>
      <w:r w:rsidRPr="00F015CC">
        <w:rPr>
          <w:rFonts w:cstheme="minorHAnsi"/>
          <w:b/>
        </w:rPr>
        <w:t>).</w:t>
      </w:r>
    </w:p>
    <w:p w14:paraId="1AD348CB" w14:textId="14EE9B40" w:rsidR="00295E98" w:rsidRPr="00F015CC" w:rsidRDefault="00295E98" w:rsidP="00295E98">
      <w:pPr>
        <w:spacing w:line="240" w:lineRule="auto"/>
        <w:jc w:val="both"/>
        <w:rPr>
          <w:rFonts w:cstheme="minorHAnsi"/>
          <w:b/>
        </w:rPr>
      </w:pPr>
      <w:r w:rsidRPr="00F015CC">
        <w:rPr>
          <w:rFonts w:cstheme="minorHAnsi"/>
        </w:rPr>
        <w:t>Goal 1. End poverty in all its forms everywhere (</w:t>
      </w:r>
      <w:r w:rsidRPr="00F015CC">
        <w:rPr>
          <w:rFonts w:cstheme="minorHAnsi"/>
          <w:bCs/>
        </w:rPr>
        <w:t>1.4</w:t>
      </w:r>
      <w:r w:rsidRPr="00F015CC">
        <w:rPr>
          <w:rFonts w:cstheme="minorHAnsi"/>
        </w:rPr>
        <w:t> By 2030, ensure that all men and women, in particular</w:t>
      </w:r>
      <w:r w:rsidR="00657043">
        <w:rPr>
          <w:rFonts w:cstheme="minorHAnsi"/>
        </w:rPr>
        <w:t>,</w:t>
      </w:r>
      <w:r w:rsidRPr="00F015CC">
        <w:rPr>
          <w:rFonts w:cstheme="minorHAnsi"/>
        </w:rPr>
        <w:t xml:space="preserve"> the poor and the vulnerable, have equal rights to economic resources, as well as access to basic services, ownership and control over land and other forms of property, inheritance, natural resources, appropriate new technology and financial services, including microfinance). </w:t>
      </w:r>
    </w:p>
    <w:p w14:paraId="369C4C65" w14:textId="77777777" w:rsidR="00295E98" w:rsidRPr="00F015CC" w:rsidRDefault="00295E98" w:rsidP="00295E98">
      <w:pPr>
        <w:spacing w:line="240" w:lineRule="auto"/>
        <w:jc w:val="both"/>
        <w:rPr>
          <w:rFonts w:cstheme="minorHAnsi"/>
          <w:b/>
        </w:rPr>
      </w:pPr>
      <w:r w:rsidRPr="00F015CC">
        <w:rPr>
          <w:rFonts w:cstheme="minorHAnsi"/>
        </w:rPr>
        <w:t>Goal 5. Achieve gender equality and empower all women and girls. (5.a Undertake reforms to give women equal rights to economic resources, as well as access to ownership and control over land and other forms of property, financial services, inheritance and natural resources, in accordance with national laws).</w:t>
      </w:r>
    </w:p>
    <w:p w14:paraId="252B7E75" w14:textId="77777777" w:rsidR="00295E98" w:rsidRPr="00F015CC" w:rsidRDefault="00295E98" w:rsidP="00295E98">
      <w:pPr>
        <w:spacing w:line="240" w:lineRule="auto"/>
        <w:jc w:val="both"/>
        <w:rPr>
          <w:rFonts w:cstheme="minorHAnsi"/>
          <w:b/>
        </w:rPr>
      </w:pPr>
      <w:r w:rsidRPr="00F015CC">
        <w:rPr>
          <w:rFonts w:cstheme="minorHAnsi"/>
        </w:rPr>
        <w:t>Goal 8. Promote inclusive and sustainable economic growth, employment and decent work for all.</w:t>
      </w:r>
    </w:p>
    <w:p w14:paraId="109F1816" w14:textId="77777777" w:rsidR="00295E98" w:rsidRPr="00F015CC" w:rsidRDefault="00295E98" w:rsidP="00295E98">
      <w:pPr>
        <w:spacing w:line="240" w:lineRule="auto"/>
        <w:jc w:val="both"/>
        <w:rPr>
          <w:rFonts w:cstheme="minorHAnsi"/>
        </w:rPr>
      </w:pPr>
      <w:r w:rsidRPr="00F015CC">
        <w:rPr>
          <w:rFonts w:cstheme="minorHAnsi"/>
        </w:rPr>
        <w:t>Goal 9. Build resilient infrastructure, promote sustainable industrialization and foster innovation</w:t>
      </w:r>
    </w:p>
    <w:p w14:paraId="426BC5B4" w14:textId="77777777" w:rsidR="00295E98" w:rsidRPr="00F015CC" w:rsidRDefault="00295E98" w:rsidP="00295E98">
      <w:pPr>
        <w:spacing w:line="240" w:lineRule="auto"/>
        <w:jc w:val="both"/>
        <w:rPr>
          <w:rFonts w:cstheme="minorHAnsi"/>
        </w:rPr>
      </w:pPr>
      <w:r w:rsidRPr="00F015CC">
        <w:rPr>
          <w:rFonts w:cstheme="minorHAnsi"/>
        </w:rPr>
        <w:t>Goal 12: Ensure sustainable consumption and production patterns</w:t>
      </w:r>
    </w:p>
    <w:p w14:paraId="3B8C6FB2" w14:textId="77777777" w:rsidR="00295E98" w:rsidRPr="00F015CC" w:rsidRDefault="00295E98" w:rsidP="00295E98">
      <w:pPr>
        <w:spacing w:line="240" w:lineRule="auto"/>
        <w:jc w:val="both"/>
        <w:rPr>
          <w:rFonts w:cstheme="minorHAnsi"/>
        </w:rPr>
      </w:pPr>
      <w:r w:rsidRPr="00F015CC">
        <w:rPr>
          <w:rFonts w:cstheme="minorHAnsi"/>
        </w:rPr>
        <w:t>Goal 17: Revitalize the global partnership for sustainable development</w:t>
      </w:r>
    </w:p>
    <w:p w14:paraId="15A5C952" w14:textId="77777777" w:rsidR="00295E98" w:rsidRDefault="00295E98" w:rsidP="00295E98">
      <w:pPr>
        <w:spacing w:line="240" w:lineRule="auto"/>
        <w:jc w:val="both"/>
        <w:rPr>
          <w:rFonts w:cstheme="minorHAnsi"/>
          <w:b/>
        </w:rPr>
      </w:pPr>
    </w:p>
    <w:p w14:paraId="14291779" w14:textId="77777777" w:rsidR="002E4FEC" w:rsidRPr="00F015CC" w:rsidRDefault="002E4FEC" w:rsidP="00295E98">
      <w:pPr>
        <w:spacing w:line="240" w:lineRule="auto"/>
        <w:jc w:val="both"/>
        <w:rPr>
          <w:rFonts w:cstheme="minorHAnsi"/>
          <w:b/>
        </w:rPr>
      </w:pPr>
      <w:r>
        <w:rPr>
          <w:rFonts w:cstheme="minorHAnsi"/>
          <w:b/>
        </w:rPr>
        <w:t>Key results</w:t>
      </w:r>
    </w:p>
    <w:p w14:paraId="077637C8" w14:textId="0C2E5A08" w:rsidR="002E4FEC" w:rsidRPr="002E4FEC" w:rsidRDefault="00427C6C" w:rsidP="00F015CC">
      <w:pPr>
        <w:spacing w:line="240" w:lineRule="auto"/>
        <w:jc w:val="both"/>
        <w:rPr>
          <w:rFonts w:cstheme="minorHAnsi"/>
        </w:rPr>
      </w:pPr>
      <w:r>
        <w:rPr>
          <w:rFonts w:cstheme="minorHAnsi"/>
        </w:rPr>
        <w:t>The f</w:t>
      </w:r>
      <w:r w:rsidR="00AF57E0" w:rsidRPr="00F015CC">
        <w:rPr>
          <w:rFonts w:cstheme="minorHAnsi"/>
        </w:rPr>
        <w:t xml:space="preserve">ollowing </w:t>
      </w:r>
      <w:r w:rsidR="009F5304" w:rsidRPr="00295E98">
        <w:rPr>
          <w:rFonts w:cstheme="minorHAnsi"/>
          <w:b/>
        </w:rPr>
        <w:t>key</w:t>
      </w:r>
      <w:r>
        <w:rPr>
          <w:rFonts w:cstheme="minorHAnsi"/>
          <w:b/>
        </w:rPr>
        <w:t xml:space="preserve"> results</w:t>
      </w:r>
      <w:r w:rsidR="009F5304">
        <w:rPr>
          <w:rFonts w:cstheme="minorHAnsi"/>
        </w:rPr>
        <w:t xml:space="preserve"> have been achieved </w:t>
      </w:r>
      <w:r w:rsidR="00F015CC">
        <w:rPr>
          <w:rFonts w:cstheme="minorHAnsi"/>
        </w:rPr>
        <w:t xml:space="preserve">during </w:t>
      </w:r>
      <w:r w:rsidR="002E4FEC">
        <w:rPr>
          <w:rFonts w:cstheme="minorHAnsi"/>
        </w:rPr>
        <w:t xml:space="preserve">the reporting period within </w:t>
      </w:r>
      <w:r w:rsidR="002E4FEC" w:rsidRPr="002E4FEC">
        <w:rPr>
          <w:rFonts w:cstheme="minorHAnsi"/>
          <w:b/>
          <w:bCs/>
        </w:rPr>
        <w:t>the Activity 1</w:t>
      </w:r>
      <w:r w:rsidR="002E4FEC">
        <w:rPr>
          <w:rFonts w:cstheme="minorHAnsi"/>
        </w:rPr>
        <w:t>.</w:t>
      </w:r>
      <w:r w:rsidR="00FA000E">
        <w:rPr>
          <w:rFonts w:cstheme="minorHAnsi"/>
        </w:rPr>
        <w:t xml:space="preserve"> </w:t>
      </w:r>
      <w:r w:rsidR="00FA000E" w:rsidRPr="00FA000E">
        <w:rPr>
          <w:rFonts w:cstheme="minorHAnsi"/>
          <w:b/>
          <w:bCs/>
        </w:rPr>
        <w:t>Technical assistance to the Kyrgyz Republic in identification, preparation and implementation of bankable projects for financing from the Russian-Kyrgyz Development Fund</w:t>
      </w:r>
    </w:p>
    <w:p w14:paraId="5D469752" w14:textId="4C69CCDE" w:rsidR="006E19B5" w:rsidRPr="006C4F1A" w:rsidRDefault="00632BCC" w:rsidP="006C4F1A">
      <w:pPr>
        <w:pStyle w:val="ListParagraph"/>
        <w:numPr>
          <w:ilvl w:val="0"/>
          <w:numId w:val="11"/>
        </w:numPr>
        <w:jc w:val="both"/>
        <w:rPr>
          <w:rFonts w:asciiTheme="minorHAnsi" w:hAnsiTheme="minorHAnsi" w:cstheme="minorHAnsi"/>
          <w:b w:val="0"/>
          <w:sz w:val="22"/>
          <w:szCs w:val="22"/>
        </w:rPr>
      </w:pPr>
      <w:r>
        <w:rPr>
          <w:rFonts w:asciiTheme="minorHAnsi" w:hAnsiTheme="minorHAnsi" w:cstheme="minorHAnsi"/>
          <w:b w:val="0"/>
          <w:sz w:val="22"/>
          <w:szCs w:val="22"/>
        </w:rPr>
        <w:t xml:space="preserve">Within the frame of the work of the national mechanism for identification of potential business </w:t>
      </w:r>
      <w:r w:rsidR="00452385">
        <w:rPr>
          <w:rFonts w:asciiTheme="minorHAnsi" w:hAnsiTheme="minorHAnsi" w:cstheme="minorHAnsi"/>
          <w:b w:val="0"/>
          <w:sz w:val="22"/>
          <w:szCs w:val="22"/>
        </w:rPr>
        <w:t>projects, from</w:t>
      </w:r>
      <w:r w:rsidR="00F015CC" w:rsidRPr="00452385">
        <w:rPr>
          <w:rFonts w:asciiTheme="minorHAnsi" w:hAnsiTheme="minorHAnsi" w:cstheme="minorHAnsi"/>
          <w:b w:val="0"/>
          <w:sz w:val="22"/>
          <w:szCs w:val="22"/>
          <w:lang w:val="en-US"/>
        </w:rPr>
        <w:t xml:space="preserve"> January to </w:t>
      </w:r>
      <w:r w:rsidR="00B214D8" w:rsidRPr="00452385">
        <w:rPr>
          <w:rFonts w:asciiTheme="minorHAnsi" w:hAnsiTheme="minorHAnsi" w:cstheme="minorHAnsi"/>
          <w:b w:val="0"/>
          <w:sz w:val="22"/>
          <w:szCs w:val="22"/>
          <w:lang w:val="en-US"/>
        </w:rPr>
        <w:t>December</w:t>
      </w:r>
      <w:r w:rsidR="00F015CC" w:rsidRPr="00452385">
        <w:rPr>
          <w:rFonts w:asciiTheme="minorHAnsi" w:hAnsiTheme="minorHAnsi" w:cstheme="minorHAnsi"/>
          <w:b w:val="0"/>
          <w:sz w:val="22"/>
          <w:szCs w:val="22"/>
          <w:lang w:val="en-US"/>
        </w:rPr>
        <w:t xml:space="preserve"> 2019</w:t>
      </w:r>
      <w:r w:rsidR="00031FD3" w:rsidRPr="00452385">
        <w:rPr>
          <w:rFonts w:asciiTheme="minorHAnsi" w:hAnsiTheme="minorHAnsi" w:cstheme="minorHAnsi"/>
          <w:b w:val="0"/>
          <w:sz w:val="22"/>
          <w:szCs w:val="22"/>
          <w:lang w:val="en-US"/>
        </w:rPr>
        <w:t xml:space="preserve">, </w:t>
      </w:r>
      <w:r w:rsidR="008C31CA" w:rsidRPr="00452385">
        <w:rPr>
          <w:rFonts w:asciiTheme="minorHAnsi" w:hAnsiTheme="minorHAnsi" w:cstheme="minorHAnsi"/>
          <w:b w:val="0"/>
          <w:sz w:val="22"/>
          <w:szCs w:val="22"/>
          <w:lang w:val="en-US"/>
        </w:rPr>
        <w:t>2</w:t>
      </w:r>
      <w:r w:rsidR="00D058F8" w:rsidRPr="00452385">
        <w:rPr>
          <w:rFonts w:asciiTheme="minorHAnsi" w:hAnsiTheme="minorHAnsi" w:cstheme="minorHAnsi"/>
          <w:b w:val="0"/>
          <w:sz w:val="22"/>
          <w:szCs w:val="22"/>
          <w:lang w:val="en-US"/>
        </w:rPr>
        <w:t>0</w:t>
      </w:r>
      <w:r w:rsidR="008C31CA" w:rsidRPr="00452385">
        <w:rPr>
          <w:rFonts w:asciiTheme="minorHAnsi" w:hAnsiTheme="minorHAnsi" w:cstheme="minorHAnsi"/>
          <w:b w:val="0"/>
          <w:sz w:val="22"/>
          <w:szCs w:val="22"/>
          <w:lang w:val="en-US"/>
        </w:rPr>
        <w:t xml:space="preserve"> business projects have been submitted. After</w:t>
      </w:r>
      <w:r w:rsidRPr="00452385">
        <w:rPr>
          <w:rFonts w:asciiTheme="minorHAnsi" w:hAnsiTheme="minorHAnsi" w:cstheme="minorHAnsi"/>
          <w:b w:val="0"/>
          <w:sz w:val="22"/>
          <w:szCs w:val="22"/>
          <w:lang w:val="en-US"/>
        </w:rPr>
        <w:t xml:space="preserve"> the</w:t>
      </w:r>
      <w:r w:rsidR="008C31CA" w:rsidRPr="00452385">
        <w:rPr>
          <w:rFonts w:asciiTheme="minorHAnsi" w:hAnsiTheme="minorHAnsi" w:cstheme="minorHAnsi"/>
          <w:b w:val="0"/>
          <w:sz w:val="22"/>
          <w:szCs w:val="22"/>
          <w:lang w:val="en-US"/>
        </w:rPr>
        <w:t xml:space="preserve"> initial screening, </w:t>
      </w:r>
      <w:r w:rsidR="00031FD3" w:rsidRPr="00452385">
        <w:rPr>
          <w:rFonts w:asciiTheme="minorHAnsi" w:hAnsiTheme="minorHAnsi" w:cstheme="minorHAnsi"/>
          <w:b w:val="0"/>
          <w:sz w:val="22"/>
          <w:szCs w:val="22"/>
          <w:lang w:val="en-US"/>
        </w:rPr>
        <w:t>7</w:t>
      </w:r>
      <w:r w:rsidR="008C31CA" w:rsidRPr="00452385">
        <w:rPr>
          <w:rFonts w:asciiTheme="minorHAnsi" w:hAnsiTheme="minorHAnsi" w:cstheme="minorHAnsi"/>
          <w:b w:val="0"/>
          <w:sz w:val="22"/>
          <w:szCs w:val="22"/>
          <w:lang w:val="en-US"/>
        </w:rPr>
        <w:t xml:space="preserve"> business projects have been passed for the final consideration and approval by the Council</w:t>
      </w:r>
      <w:r w:rsidRPr="00452385">
        <w:rPr>
          <w:rFonts w:asciiTheme="minorHAnsi" w:hAnsiTheme="minorHAnsi" w:cstheme="minorHAnsi"/>
          <w:b w:val="0"/>
          <w:sz w:val="22"/>
          <w:szCs w:val="22"/>
          <w:lang w:val="en-US"/>
        </w:rPr>
        <w:t xml:space="preserve"> for </w:t>
      </w:r>
      <w:r w:rsidR="00657043">
        <w:rPr>
          <w:rFonts w:asciiTheme="minorHAnsi" w:hAnsiTheme="minorHAnsi" w:cstheme="minorHAnsi"/>
          <w:b w:val="0"/>
          <w:sz w:val="22"/>
          <w:szCs w:val="22"/>
          <w:lang w:val="en-US"/>
        </w:rPr>
        <w:t xml:space="preserve">the </w:t>
      </w:r>
      <w:r w:rsidRPr="00452385">
        <w:rPr>
          <w:rFonts w:asciiTheme="minorHAnsi" w:hAnsiTheme="minorHAnsi" w:cstheme="minorHAnsi"/>
          <w:b w:val="0"/>
          <w:sz w:val="22"/>
          <w:szCs w:val="22"/>
          <w:lang w:val="en-US"/>
        </w:rPr>
        <w:t>formation of a list of priority investment projects</w:t>
      </w:r>
      <w:r w:rsidR="00FA000E" w:rsidRPr="00FA000E">
        <w:rPr>
          <w:rFonts w:asciiTheme="minorHAnsi" w:hAnsiTheme="minorHAnsi" w:cstheme="minorHAnsi"/>
          <w:b w:val="0"/>
          <w:sz w:val="22"/>
          <w:szCs w:val="22"/>
          <w:lang w:val="en-US"/>
        </w:rPr>
        <w:t xml:space="preserve">, </w:t>
      </w:r>
      <w:r w:rsidR="00FA000E">
        <w:rPr>
          <w:rFonts w:asciiTheme="minorHAnsi" w:hAnsiTheme="minorHAnsi" w:cstheme="minorHAnsi"/>
          <w:b w:val="0"/>
          <w:sz w:val="22"/>
          <w:szCs w:val="22"/>
          <w:lang w:val="en-US"/>
        </w:rPr>
        <w:t>founded by the Ministry of Economy of the Kyrgyz Republic</w:t>
      </w:r>
      <w:r w:rsidR="009C2B90" w:rsidRPr="00452385">
        <w:rPr>
          <w:rFonts w:asciiTheme="minorHAnsi" w:hAnsiTheme="minorHAnsi" w:cstheme="minorHAnsi"/>
          <w:b w:val="0"/>
          <w:sz w:val="22"/>
          <w:szCs w:val="22"/>
          <w:lang w:val="en-US"/>
        </w:rPr>
        <w:t xml:space="preserve">. The meeting of </w:t>
      </w:r>
      <w:r w:rsidRPr="00452385">
        <w:rPr>
          <w:rFonts w:asciiTheme="minorHAnsi" w:hAnsiTheme="minorHAnsi" w:cstheme="minorHAnsi"/>
          <w:b w:val="0"/>
          <w:sz w:val="22"/>
          <w:szCs w:val="22"/>
          <w:lang w:val="en-US"/>
        </w:rPr>
        <w:t xml:space="preserve">the </w:t>
      </w:r>
      <w:r w:rsidR="009C2B90" w:rsidRPr="00452385">
        <w:rPr>
          <w:rFonts w:asciiTheme="minorHAnsi" w:hAnsiTheme="minorHAnsi" w:cstheme="minorHAnsi"/>
          <w:b w:val="0"/>
          <w:sz w:val="22"/>
          <w:szCs w:val="22"/>
          <w:lang w:val="en-US"/>
        </w:rPr>
        <w:t>Council</w:t>
      </w:r>
      <w:r w:rsidR="006E19B5" w:rsidRPr="00452385">
        <w:rPr>
          <w:rFonts w:asciiTheme="minorHAnsi" w:hAnsiTheme="minorHAnsi" w:cstheme="minorHAnsi"/>
          <w:b w:val="0"/>
          <w:sz w:val="22"/>
          <w:szCs w:val="22"/>
          <w:lang w:val="en-US"/>
        </w:rPr>
        <w:t xml:space="preserve"> was held in September 2019</w:t>
      </w:r>
      <w:r w:rsidR="003064C7" w:rsidRPr="00452385">
        <w:rPr>
          <w:rFonts w:asciiTheme="minorHAnsi" w:hAnsiTheme="minorHAnsi" w:cstheme="minorHAnsi"/>
          <w:b w:val="0"/>
          <w:sz w:val="22"/>
          <w:szCs w:val="22"/>
          <w:lang w:val="en-US"/>
        </w:rPr>
        <w:t xml:space="preserve"> and the Council approved 6 business projects</w:t>
      </w:r>
      <w:r w:rsidR="009C2B90" w:rsidRPr="00452385">
        <w:rPr>
          <w:rFonts w:asciiTheme="minorHAnsi" w:hAnsiTheme="minorHAnsi" w:cstheme="minorHAnsi"/>
          <w:b w:val="0"/>
          <w:sz w:val="22"/>
          <w:szCs w:val="22"/>
          <w:lang w:val="en-US"/>
        </w:rPr>
        <w:t xml:space="preserve"> from Jalalabad, </w:t>
      </w:r>
      <w:proofErr w:type="spellStart"/>
      <w:r w:rsidR="009C2B90" w:rsidRPr="00452385">
        <w:rPr>
          <w:rFonts w:asciiTheme="minorHAnsi" w:hAnsiTheme="minorHAnsi" w:cstheme="minorHAnsi"/>
          <w:b w:val="0"/>
          <w:sz w:val="22"/>
          <w:szCs w:val="22"/>
          <w:lang w:val="en-US"/>
        </w:rPr>
        <w:t>Yssyk</w:t>
      </w:r>
      <w:proofErr w:type="spellEnd"/>
      <w:r w:rsidR="009C2B90" w:rsidRPr="00452385">
        <w:rPr>
          <w:rFonts w:asciiTheme="minorHAnsi" w:hAnsiTheme="minorHAnsi" w:cstheme="minorHAnsi"/>
          <w:b w:val="0"/>
          <w:sz w:val="22"/>
          <w:szCs w:val="22"/>
          <w:lang w:val="en-US"/>
        </w:rPr>
        <w:t xml:space="preserve"> Kul, </w:t>
      </w:r>
      <w:proofErr w:type="spellStart"/>
      <w:r w:rsidR="009C2B90" w:rsidRPr="00452385">
        <w:rPr>
          <w:rFonts w:asciiTheme="minorHAnsi" w:hAnsiTheme="minorHAnsi" w:cstheme="minorHAnsi"/>
          <w:b w:val="0"/>
          <w:sz w:val="22"/>
          <w:szCs w:val="22"/>
          <w:lang w:val="en-US"/>
        </w:rPr>
        <w:t>Naryn</w:t>
      </w:r>
      <w:proofErr w:type="spellEnd"/>
      <w:r w:rsidR="009C2B90" w:rsidRPr="00452385">
        <w:rPr>
          <w:rFonts w:asciiTheme="minorHAnsi" w:hAnsiTheme="minorHAnsi" w:cstheme="minorHAnsi"/>
          <w:b w:val="0"/>
          <w:sz w:val="22"/>
          <w:szCs w:val="22"/>
          <w:lang w:val="en-US"/>
        </w:rPr>
        <w:t xml:space="preserve"> and Chui regions</w:t>
      </w:r>
      <w:r w:rsidR="003064C7" w:rsidRPr="00452385">
        <w:rPr>
          <w:rFonts w:asciiTheme="minorHAnsi" w:hAnsiTheme="minorHAnsi" w:cstheme="minorHAnsi"/>
          <w:b w:val="0"/>
          <w:sz w:val="22"/>
          <w:szCs w:val="22"/>
          <w:lang w:val="en-US"/>
        </w:rPr>
        <w:t xml:space="preserve"> in the following sectors: “Industry”, “Tourism”, «Bottling of water”, “Production of electrical vehicles”, </w:t>
      </w:r>
      <w:r w:rsidR="009C2B90" w:rsidRPr="00452385">
        <w:rPr>
          <w:rFonts w:asciiTheme="minorHAnsi" w:hAnsiTheme="minorHAnsi" w:cstheme="minorHAnsi"/>
          <w:b w:val="0"/>
          <w:sz w:val="22"/>
          <w:szCs w:val="22"/>
          <w:lang w:val="en-US"/>
        </w:rPr>
        <w:t>“Production of water meters”</w:t>
      </w:r>
      <w:r w:rsidR="006E19B5" w:rsidRPr="00452385">
        <w:rPr>
          <w:rFonts w:asciiTheme="minorHAnsi" w:hAnsiTheme="minorHAnsi" w:cstheme="minorHAnsi"/>
          <w:b w:val="0"/>
          <w:sz w:val="22"/>
          <w:szCs w:val="22"/>
          <w:lang w:val="en-US"/>
        </w:rPr>
        <w:t>.</w:t>
      </w:r>
      <w:r w:rsidR="003064C7" w:rsidRPr="006C4F1A">
        <w:rPr>
          <w:rFonts w:cstheme="minorHAnsi"/>
        </w:rPr>
        <w:t xml:space="preserve"> </w:t>
      </w:r>
      <w:r w:rsidR="00031FD3" w:rsidRPr="006C4F1A">
        <w:rPr>
          <w:rFonts w:cstheme="minorHAnsi"/>
          <w:lang w:val="en-US"/>
        </w:rPr>
        <w:t xml:space="preserve"> </w:t>
      </w:r>
    </w:p>
    <w:p w14:paraId="7828104F" w14:textId="77777777" w:rsidR="00586650" w:rsidRDefault="009B5D84" w:rsidP="00E96C63">
      <w:pPr>
        <w:pStyle w:val="ListParagraph"/>
        <w:ind w:left="862"/>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In addition to the approval of business project</w:t>
      </w:r>
      <w:r w:rsidR="00632BCC">
        <w:rPr>
          <w:rFonts w:asciiTheme="minorHAnsi" w:hAnsiTheme="minorHAnsi" w:cstheme="minorHAnsi"/>
          <w:b w:val="0"/>
          <w:sz w:val="22"/>
          <w:szCs w:val="22"/>
          <w:lang w:val="en-US"/>
        </w:rPr>
        <w:t>s</w:t>
      </w:r>
      <w:r>
        <w:rPr>
          <w:rFonts w:asciiTheme="minorHAnsi" w:hAnsiTheme="minorHAnsi" w:cstheme="minorHAnsi"/>
          <w:b w:val="0"/>
          <w:sz w:val="22"/>
          <w:szCs w:val="22"/>
          <w:lang w:val="en-US"/>
        </w:rPr>
        <w:t xml:space="preserve">, the Council has also reviewed and approved the template of </w:t>
      </w:r>
      <w:r>
        <w:rPr>
          <w:rFonts w:asciiTheme="minorHAnsi" w:hAnsiTheme="minorHAnsi" w:cstheme="minorHAnsi"/>
          <w:b w:val="0"/>
          <w:sz w:val="22"/>
          <w:szCs w:val="22"/>
        </w:rPr>
        <w:t>the agreement of co-financing the development of feasibility studies</w:t>
      </w:r>
      <w:r w:rsidR="008804F2">
        <w:rPr>
          <w:rFonts w:asciiTheme="minorHAnsi" w:hAnsiTheme="minorHAnsi" w:cstheme="minorHAnsi"/>
          <w:b w:val="0"/>
          <w:sz w:val="22"/>
          <w:szCs w:val="22"/>
        </w:rPr>
        <w:t>.</w:t>
      </w:r>
    </w:p>
    <w:p w14:paraId="340699A4" w14:textId="77777777" w:rsidR="00586650" w:rsidRPr="003064C7" w:rsidRDefault="00586650" w:rsidP="00586650">
      <w:pPr>
        <w:pStyle w:val="ListParagraph"/>
        <w:ind w:left="862"/>
        <w:jc w:val="both"/>
        <w:rPr>
          <w:rFonts w:asciiTheme="minorHAnsi" w:hAnsiTheme="minorHAnsi" w:cstheme="minorHAnsi"/>
          <w:b w:val="0"/>
          <w:sz w:val="22"/>
          <w:szCs w:val="22"/>
          <w:lang w:val="en-US"/>
        </w:rPr>
      </w:pPr>
    </w:p>
    <w:p w14:paraId="7C40F4A1" w14:textId="2AA6DEBD" w:rsidR="00F015CC" w:rsidRDefault="00DD30F7" w:rsidP="006E19B5">
      <w:pPr>
        <w:pStyle w:val="ListParagraph"/>
        <w:ind w:left="862"/>
        <w:jc w:val="both"/>
        <w:rPr>
          <w:rFonts w:asciiTheme="minorHAnsi" w:hAnsiTheme="minorHAnsi" w:cstheme="minorHAnsi"/>
          <w:b w:val="0"/>
          <w:sz w:val="22"/>
          <w:szCs w:val="22"/>
          <w:lang w:val="en-US"/>
        </w:rPr>
      </w:pPr>
      <w:r>
        <w:rPr>
          <w:rFonts w:asciiTheme="minorHAnsi" w:hAnsiTheme="minorHAnsi" w:cstheme="minorHAnsi"/>
          <w:b w:val="0"/>
          <w:sz w:val="22"/>
          <w:szCs w:val="22"/>
        </w:rPr>
        <w:t>7 projects that were approved by the Council in 2018</w:t>
      </w:r>
      <w:r w:rsidR="00750233">
        <w:rPr>
          <w:rFonts w:asciiTheme="minorHAnsi" w:hAnsiTheme="minorHAnsi" w:cstheme="minorHAnsi"/>
          <w:b w:val="0"/>
          <w:sz w:val="22"/>
          <w:szCs w:val="22"/>
        </w:rPr>
        <w:t xml:space="preserve"> to receive the technical support from UNDP</w:t>
      </w:r>
      <w:r>
        <w:rPr>
          <w:rFonts w:asciiTheme="minorHAnsi" w:hAnsiTheme="minorHAnsi" w:cstheme="minorHAnsi"/>
          <w:b w:val="0"/>
          <w:sz w:val="22"/>
          <w:szCs w:val="22"/>
        </w:rPr>
        <w:t xml:space="preserve"> were</w:t>
      </w:r>
      <w:r w:rsidR="00A252C9">
        <w:rPr>
          <w:rFonts w:asciiTheme="minorHAnsi" w:hAnsiTheme="minorHAnsi" w:cstheme="minorHAnsi"/>
          <w:b w:val="0"/>
          <w:sz w:val="22"/>
          <w:szCs w:val="22"/>
        </w:rPr>
        <w:t xml:space="preserve"> withdrawn </w:t>
      </w:r>
      <w:r>
        <w:rPr>
          <w:rFonts w:asciiTheme="minorHAnsi" w:hAnsiTheme="minorHAnsi" w:cstheme="minorHAnsi"/>
          <w:b w:val="0"/>
          <w:sz w:val="22"/>
          <w:szCs w:val="22"/>
        </w:rPr>
        <w:t>by the appli</w:t>
      </w:r>
      <w:r w:rsidR="00A252C9">
        <w:rPr>
          <w:rFonts w:asciiTheme="minorHAnsi" w:hAnsiTheme="minorHAnsi" w:cstheme="minorHAnsi"/>
          <w:b w:val="0"/>
          <w:sz w:val="22"/>
          <w:szCs w:val="22"/>
        </w:rPr>
        <w:t>cants</w:t>
      </w:r>
      <w:r>
        <w:rPr>
          <w:rFonts w:asciiTheme="minorHAnsi" w:hAnsiTheme="minorHAnsi" w:cstheme="minorHAnsi"/>
          <w:b w:val="0"/>
          <w:sz w:val="22"/>
          <w:szCs w:val="22"/>
        </w:rPr>
        <w:t xml:space="preserve"> for the following reasons: </w:t>
      </w:r>
      <w:r w:rsidR="00750233">
        <w:rPr>
          <w:rFonts w:asciiTheme="minorHAnsi" w:hAnsiTheme="minorHAnsi" w:cstheme="minorHAnsi"/>
          <w:b w:val="0"/>
          <w:sz w:val="22"/>
          <w:szCs w:val="22"/>
        </w:rPr>
        <w:t>2</w:t>
      </w:r>
      <w:r>
        <w:rPr>
          <w:rFonts w:asciiTheme="minorHAnsi" w:hAnsiTheme="minorHAnsi" w:cstheme="minorHAnsi"/>
          <w:b w:val="0"/>
          <w:sz w:val="22"/>
          <w:szCs w:val="22"/>
        </w:rPr>
        <w:t xml:space="preserve"> project</w:t>
      </w:r>
      <w:r w:rsidR="00750233">
        <w:rPr>
          <w:rFonts w:asciiTheme="minorHAnsi" w:hAnsiTheme="minorHAnsi" w:cstheme="minorHAnsi"/>
          <w:b w:val="0"/>
          <w:sz w:val="22"/>
          <w:szCs w:val="22"/>
        </w:rPr>
        <w:t>s</w:t>
      </w:r>
      <w:r>
        <w:rPr>
          <w:rFonts w:asciiTheme="minorHAnsi" w:hAnsiTheme="minorHAnsi" w:cstheme="minorHAnsi"/>
          <w:b w:val="0"/>
          <w:sz w:val="22"/>
          <w:szCs w:val="22"/>
        </w:rPr>
        <w:t xml:space="preserve"> ha</w:t>
      </w:r>
      <w:r w:rsidR="00750233">
        <w:rPr>
          <w:rFonts w:asciiTheme="minorHAnsi" w:hAnsiTheme="minorHAnsi" w:cstheme="minorHAnsi"/>
          <w:b w:val="0"/>
          <w:sz w:val="22"/>
          <w:szCs w:val="22"/>
        </w:rPr>
        <w:t>ve</w:t>
      </w:r>
      <w:r>
        <w:rPr>
          <w:rFonts w:asciiTheme="minorHAnsi" w:hAnsiTheme="minorHAnsi" w:cstheme="minorHAnsi"/>
          <w:b w:val="0"/>
          <w:sz w:val="22"/>
          <w:szCs w:val="22"/>
        </w:rPr>
        <w:t xml:space="preserve"> been </w:t>
      </w:r>
      <w:r w:rsidR="00750233">
        <w:rPr>
          <w:rFonts w:asciiTheme="minorHAnsi" w:hAnsiTheme="minorHAnsi" w:cstheme="minorHAnsi"/>
          <w:b w:val="0"/>
          <w:sz w:val="22"/>
          <w:szCs w:val="22"/>
        </w:rPr>
        <w:t xml:space="preserve">later submitted  for direct financing with the RKDF: 1 business project received a financing in the amount of 835 000 USD and 1 project is in the process of discussion of financing terms; 1 project has been withdrawn to receive the financing </w:t>
      </w:r>
      <w:r>
        <w:rPr>
          <w:rFonts w:asciiTheme="minorHAnsi" w:hAnsiTheme="minorHAnsi" w:cstheme="minorHAnsi"/>
          <w:b w:val="0"/>
          <w:sz w:val="22"/>
          <w:szCs w:val="22"/>
        </w:rPr>
        <w:t>through the State program on financing the development of regions (the Government has allocated 2</w:t>
      </w:r>
      <w:r w:rsidR="0001439E">
        <w:rPr>
          <w:rFonts w:asciiTheme="minorHAnsi" w:hAnsiTheme="minorHAnsi" w:cstheme="minorHAnsi"/>
          <w:b w:val="0"/>
          <w:sz w:val="22"/>
          <w:szCs w:val="22"/>
          <w:lang w:val="en-US"/>
        </w:rPr>
        <w:t>billions</w:t>
      </w:r>
      <w:r>
        <w:rPr>
          <w:rFonts w:asciiTheme="minorHAnsi" w:hAnsiTheme="minorHAnsi" w:cstheme="minorHAnsi"/>
          <w:b w:val="0"/>
          <w:sz w:val="22"/>
          <w:szCs w:val="22"/>
        </w:rPr>
        <w:t xml:space="preserve"> KGS for this program)</w:t>
      </w:r>
      <w:r w:rsidR="001330A4">
        <w:rPr>
          <w:rFonts w:asciiTheme="minorHAnsi" w:hAnsiTheme="minorHAnsi" w:cstheme="minorHAnsi"/>
          <w:b w:val="0"/>
          <w:sz w:val="22"/>
          <w:szCs w:val="22"/>
        </w:rPr>
        <w:t xml:space="preserve">; 2 </w:t>
      </w:r>
      <w:r>
        <w:rPr>
          <w:rFonts w:asciiTheme="minorHAnsi" w:hAnsiTheme="minorHAnsi" w:cstheme="minorHAnsi"/>
          <w:b w:val="0"/>
          <w:sz w:val="22"/>
          <w:szCs w:val="22"/>
        </w:rPr>
        <w:t>project applications have been recalled</w:t>
      </w:r>
      <w:r w:rsidR="00E96612">
        <w:rPr>
          <w:rFonts w:asciiTheme="minorHAnsi" w:hAnsiTheme="minorHAnsi" w:cstheme="minorHAnsi"/>
          <w:b w:val="0"/>
          <w:sz w:val="22"/>
          <w:szCs w:val="22"/>
        </w:rPr>
        <w:t xml:space="preserve"> due to the financing terms were not compliant with Islamic principles of finance</w:t>
      </w:r>
      <w:r w:rsidR="00657043">
        <w:rPr>
          <w:rFonts w:asciiTheme="minorHAnsi" w:hAnsiTheme="minorHAnsi" w:cstheme="minorHAnsi"/>
          <w:b w:val="0"/>
          <w:sz w:val="22"/>
          <w:szCs w:val="22"/>
        </w:rPr>
        <w:t>;</w:t>
      </w:r>
      <w:r w:rsidR="00E96612">
        <w:rPr>
          <w:rFonts w:asciiTheme="minorHAnsi" w:hAnsiTheme="minorHAnsi" w:cstheme="minorHAnsi"/>
          <w:b w:val="0"/>
          <w:sz w:val="22"/>
          <w:szCs w:val="22"/>
        </w:rPr>
        <w:t xml:space="preserve">  and 2 projects have been recalled as the business owners decided not to implement the projects.</w:t>
      </w:r>
      <w:r w:rsidR="009F5304">
        <w:rPr>
          <w:rFonts w:asciiTheme="minorHAnsi" w:hAnsiTheme="minorHAnsi" w:cstheme="minorHAnsi"/>
          <w:b w:val="0"/>
          <w:sz w:val="22"/>
          <w:szCs w:val="22"/>
          <w:lang w:val="en-US"/>
        </w:rPr>
        <w:t xml:space="preserve"> </w:t>
      </w:r>
      <w:r w:rsidR="00750233" w:rsidRPr="00750233">
        <w:rPr>
          <w:rFonts w:asciiTheme="minorHAnsi" w:hAnsiTheme="minorHAnsi" w:cstheme="minorHAnsi"/>
          <w:b w:val="0"/>
          <w:sz w:val="22"/>
          <w:szCs w:val="22"/>
        </w:rPr>
        <w:t xml:space="preserve">The submission of some project proposals without the required </w:t>
      </w:r>
      <w:r w:rsidR="0056309F">
        <w:rPr>
          <w:rFonts w:asciiTheme="minorHAnsi" w:hAnsiTheme="minorHAnsi" w:cstheme="minorHAnsi"/>
          <w:b w:val="0"/>
          <w:sz w:val="22"/>
          <w:szCs w:val="22"/>
        </w:rPr>
        <w:t>technical</w:t>
      </w:r>
      <w:r w:rsidR="00750233" w:rsidRPr="00750233">
        <w:rPr>
          <w:rFonts w:asciiTheme="minorHAnsi" w:hAnsiTheme="minorHAnsi" w:cstheme="minorHAnsi"/>
          <w:b w:val="0"/>
          <w:sz w:val="22"/>
          <w:szCs w:val="22"/>
        </w:rPr>
        <w:t xml:space="preserve"> support, however, is evidence of the preliminary work carried out to improve the quality of business applications as they </w:t>
      </w:r>
      <w:r w:rsidR="0056309F">
        <w:rPr>
          <w:rFonts w:asciiTheme="minorHAnsi" w:hAnsiTheme="minorHAnsi" w:cstheme="minorHAnsi"/>
          <w:b w:val="0"/>
          <w:sz w:val="22"/>
          <w:szCs w:val="22"/>
        </w:rPr>
        <w:t xml:space="preserve">went through the </w:t>
      </w:r>
      <w:r w:rsidR="00750233" w:rsidRPr="00750233">
        <w:rPr>
          <w:rFonts w:asciiTheme="minorHAnsi" w:hAnsiTheme="minorHAnsi" w:cstheme="minorHAnsi"/>
          <w:b w:val="0"/>
          <w:sz w:val="22"/>
          <w:szCs w:val="22"/>
        </w:rPr>
        <w:t>detailed and comprehensive review procedures within the framework of the proposed national mechanism.</w:t>
      </w:r>
      <w:r w:rsidR="00750233">
        <w:rPr>
          <w:rFonts w:asciiTheme="minorHAnsi" w:hAnsiTheme="minorHAnsi" w:cstheme="minorHAnsi"/>
          <w:b w:val="0"/>
          <w:sz w:val="22"/>
          <w:szCs w:val="22"/>
          <w:lang w:val="en-US"/>
        </w:rPr>
        <w:t xml:space="preserve"> </w:t>
      </w:r>
    </w:p>
    <w:p w14:paraId="62F5AC56" w14:textId="77777777" w:rsidR="009F5304" w:rsidRPr="00F015CC" w:rsidRDefault="009F5304" w:rsidP="009F5304">
      <w:pPr>
        <w:pStyle w:val="ListParagraph"/>
        <w:ind w:left="862"/>
        <w:jc w:val="both"/>
        <w:rPr>
          <w:rFonts w:asciiTheme="minorHAnsi" w:hAnsiTheme="minorHAnsi" w:cstheme="minorHAnsi"/>
          <w:b w:val="0"/>
          <w:sz w:val="22"/>
          <w:szCs w:val="22"/>
        </w:rPr>
      </w:pPr>
    </w:p>
    <w:p w14:paraId="264D97A4" w14:textId="44EAC22C" w:rsidR="00D12623" w:rsidRDefault="000A0B8E" w:rsidP="000A0B8E">
      <w:pPr>
        <w:pStyle w:val="ListParagraph"/>
        <w:numPr>
          <w:ilvl w:val="0"/>
          <w:numId w:val="11"/>
        </w:numPr>
        <w:jc w:val="both"/>
        <w:rPr>
          <w:rFonts w:asciiTheme="minorHAnsi" w:hAnsiTheme="minorHAnsi" w:cstheme="minorHAnsi"/>
          <w:b w:val="0"/>
          <w:sz w:val="22"/>
          <w:szCs w:val="22"/>
        </w:rPr>
      </w:pPr>
      <w:r>
        <w:rPr>
          <w:rFonts w:asciiTheme="minorHAnsi" w:hAnsiTheme="minorHAnsi" w:cstheme="minorHAnsi"/>
          <w:b w:val="0"/>
          <w:sz w:val="22"/>
          <w:szCs w:val="22"/>
        </w:rPr>
        <w:t xml:space="preserve">The key Project focus area stands with providing the support to entrepreneurs to conduct feasibility studies and prepare bankable projects that meet </w:t>
      </w:r>
      <w:r w:rsidR="006F32D8">
        <w:rPr>
          <w:rFonts w:asciiTheme="minorHAnsi" w:hAnsiTheme="minorHAnsi" w:cstheme="minorHAnsi"/>
          <w:b w:val="0"/>
          <w:sz w:val="22"/>
          <w:szCs w:val="22"/>
        </w:rPr>
        <w:t xml:space="preserve">the </w:t>
      </w:r>
      <w:r>
        <w:rPr>
          <w:rFonts w:asciiTheme="minorHAnsi" w:hAnsiTheme="minorHAnsi" w:cstheme="minorHAnsi"/>
          <w:b w:val="0"/>
          <w:sz w:val="22"/>
          <w:szCs w:val="22"/>
        </w:rPr>
        <w:t xml:space="preserve">RKDF standards and eligible for financing through RKDF. </w:t>
      </w:r>
      <w:r w:rsidRPr="007C3669">
        <w:rPr>
          <w:rFonts w:asciiTheme="minorHAnsi" w:hAnsiTheme="minorHAnsi" w:cstheme="minorHAnsi"/>
          <w:b w:val="0"/>
          <w:sz w:val="22"/>
          <w:szCs w:val="22"/>
        </w:rPr>
        <w:t xml:space="preserve">In preparation </w:t>
      </w:r>
      <w:r w:rsidR="00657043">
        <w:rPr>
          <w:rFonts w:asciiTheme="minorHAnsi" w:hAnsiTheme="minorHAnsi" w:cstheme="minorHAnsi"/>
          <w:b w:val="0"/>
          <w:sz w:val="22"/>
          <w:szCs w:val="22"/>
        </w:rPr>
        <w:t>for</w:t>
      </w:r>
      <w:r w:rsidR="00657043" w:rsidRPr="007C3669">
        <w:rPr>
          <w:rFonts w:asciiTheme="minorHAnsi" w:hAnsiTheme="minorHAnsi" w:cstheme="minorHAnsi"/>
          <w:b w:val="0"/>
          <w:sz w:val="22"/>
          <w:szCs w:val="22"/>
        </w:rPr>
        <w:t xml:space="preserve"> </w:t>
      </w:r>
      <w:r w:rsidRPr="007C3669">
        <w:rPr>
          <w:rFonts w:asciiTheme="minorHAnsi" w:hAnsiTheme="minorHAnsi" w:cstheme="minorHAnsi"/>
          <w:b w:val="0"/>
          <w:sz w:val="22"/>
          <w:szCs w:val="22"/>
        </w:rPr>
        <w:t xml:space="preserve">the open call for proposals </w:t>
      </w:r>
      <w:r>
        <w:rPr>
          <w:rFonts w:asciiTheme="minorHAnsi" w:hAnsiTheme="minorHAnsi" w:cstheme="minorHAnsi"/>
          <w:b w:val="0"/>
          <w:sz w:val="22"/>
          <w:szCs w:val="22"/>
        </w:rPr>
        <w:t>for feasibility studies for the priority project</w:t>
      </w:r>
      <w:r w:rsidR="00404F9A">
        <w:rPr>
          <w:rFonts w:asciiTheme="minorHAnsi" w:hAnsiTheme="minorHAnsi" w:cstheme="minorHAnsi"/>
          <w:b w:val="0"/>
          <w:sz w:val="22"/>
          <w:szCs w:val="22"/>
        </w:rPr>
        <w:t>s</w:t>
      </w:r>
      <w:r>
        <w:rPr>
          <w:rFonts w:asciiTheme="minorHAnsi" w:hAnsiTheme="minorHAnsi" w:cstheme="minorHAnsi"/>
          <w:b w:val="0"/>
          <w:sz w:val="22"/>
          <w:szCs w:val="22"/>
        </w:rPr>
        <w:t xml:space="preserve"> to be funded by </w:t>
      </w:r>
      <w:r w:rsidR="00F22E68">
        <w:rPr>
          <w:rFonts w:asciiTheme="minorHAnsi" w:hAnsiTheme="minorHAnsi" w:cstheme="minorHAnsi"/>
          <w:b w:val="0"/>
          <w:sz w:val="22"/>
          <w:szCs w:val="22"/>
        </w:rPr>
        <w:t xml:space="preserve">the </w:t>
      </w:r>
      <w:r>
        <w:rPr>
          <w:rFonts w:asciiTheme="minorHAnsi" w:hAnsiTheme="minorHAnsi" w:cstheme="minorHAnsi"/>
          <w:b w:val="0"/>
          <w:sz w:val="22"/>
          <w:szCs w:val="22"/>
        </w:rPr>
        <w:t xml:space="preserve">RKDF, UNDP </w:t>
      </w:r>
      <w:r w:rsidRPr="007C3669">
        <w:rPr>
          <w:rFonts w:asciiTheme="minorHAnsi" w:hAnsiTheme="minorHAnsi" w:cstheme="minorHAnsi"/>
          <w:b w:val="0"/>
          <w:sz w:val="22"/>
          <w:szCs w:val="22"/>
        </w:rPr>
        <w:t xml:space="preserve">conducted market research among </w:t>
      </w:r>
      <w:r w:rsidR="00D12623">
        <w:rPr>
          <w:rFonts w:asciiTheme="minorHAnsi" w:hAnsiTheme="minorHAnsi" w:cstheme="minorHAnsi"/>
          <w:b w:val="0"/>
          <w:sz w:val="22"/>
          <w:szCs w:val="22"/>
        </w:rPr>
        <w:t xml:space="preserve">the </w:t>
      </w:r>
      <w:r w:rsidRPr="007C3669">
        <w:rPr>
          <w:rFonts w:asciiTheme="minorHAnsi" w:hAnsiTheme="minorHAnsi" w:cstheme="minorHAnsi"/>
          <w:b w:val="0"/>
          <w:sz w:val="22"/>
          <w:szCs w:val="22"/>
        </w:rPr>
        <w:t>local/international financial consulting services providers to identify</w:t>
      </w:r>
      <w:r w:rsidR="00885E40">
        <w:rPr>
          <w:rFonts w:asciiTheme="minorHAnsi" w:hAnsiTheme="minorHAnsi" w:cstheme="minorHAnsi"/>
          <w:b w:val="0"/>
          <w:sz w:val="22"/>
          <w:szCs w:val="22"/>
        </w:rPr>
        <w:t xml:space="preserve"> the</w:t>
      </w:r>
      <w:r w:rsidRPr="007C3669">
        <w:rPr>
          <w:rFonts w:asciiTheme="minorHAnsi" w:hAnsiTheme="minorHAnsi" w:cstheme="minorHAnsi"/>
          <w:b w:val="0"/>
          <w:sz w:val="22"/>
          <w:szCs w:val="22"/>
        </w:rPr>
        <w:t xml:space="preserve"> </w:t>
      </w:r>
      <w:r>
        <w:rPr>
          <w:rFonts w:asciiTheme="minorHAnsi" w:hAnsiTheme="minorHAnsi" w:cstheme="minorHAnsi"/>
          <w:b w:val="0"/>
          <w:sz w:val="22"/>
          <w:szCs w:val="22"/>
        </w:rPr>
        <w:t xml:space="preserve">existing market capacity. Apart from </w:t>
      </w:r>
      <w:r w:rsidR="00885E40">
        <w:rPr>
          <w:rFonts w:asciiTheme="minorHAnsi" w:hAnsiTheme="minorHAnsi" w:cstheme="minorHAnsi"/>
          <w:b w:val="0"/>
          <w:sz w:val="22"/>
          <w:szCs w:val="22"/>
        </w:rPr>
        <w:t xml:space="preserve">the </w:t>
      </w:r>
      <w:r>
        <w:rPr>
          <w:rFonts w:asciiTheme="minorHAnsi" w:hAnsiTheme="minorHAnsi" w:cstheme="minorHAnsi"/>
          <w:b w:val="0"/>
          <w:sz w:val="22"/>
          <w:szCs w:val="22"/>
        </w:rPr>
        <w:t>regular channels</w:t>
      </w:r>
      <w:r w:rsidR="00D12623">
        <w:rPr>
          <w:rFonts w:asciiTheme="minorHAnsi" w:hAnsiTheme="minorHAnsi" w:cstheme="minorHAnsi"/>
          <w:b w:val="0"/>
          <w:sz w:val="22"/>
          <w:szCs w:val="22"/>
        </w:rPr>
        <w:t>, used by</w:t>
      </w:r>
      <w:r w:rsidR="00D12623" w:rsidRPr="00D12623">
        <w:rPr>
          <w:rFonts w:asciiTheme="minorHAnsi" w:hAnsiTheme="minorHAnsi" w:cstheme="minorHAnsi"/>
          <w:b w:val="0"/>
          <w:sz w:val="22"/>
          <w:szCs w:val="22"/>
        </w:rPr>
        <w:t xml:space="preserve"> </w:t>
      </w:r>
      <w:r w:rsidR="00D12623">
        <w:rPr>
          <w:rFonts w:asciiTheme="minorHAnsi" w:hAnsiTheme="minorHAnsi" w:cstheme="minorHAnsi"/>
          <w:b w:val="0"/>
          <w:sz w:val="22"/>
          <w:szCs w:val="22"/>
        </w:rPr>
        <w:t>UNDP for the dissemination of information</w:t>
      </w:r>
      <w:r>
        <w:rPr>
          <w:rFonts w:asciiTheme="minorHAnsi" w:hAnsiTheme="minorHAnsi" w:cstheme="minorHAnsi"/>
          <w:b w:val="0"/>
          <w:sz w:val="22"/>
          <w:szCs w:val="22"/>
        </w:rPr>
        <w:t xml:space="preserve">, the announcement has been distributed to more than 100 companies. Fully transparent open competition among the local and international companies resulted in </w:t>
      </w:r>
      <w:r w:rsidR="00F50404">
        <w:rPr>
          <w:rFonts w:asciiTheme="minorHAnsi" w:hAnsiTheme="minorHAnsi" w:cstheme="minorHAnsi"/>
          <w:b w:val="0"/>
          <w:sz w:val="22"/>
          <w:szCs w:val="22"/>
        </w:rPr>
        <w:t>the</w:t>
      </w:r>
      <w:r>
        <w:rPr>
          <w:rFonts w:asciiTheme="minorHAnsi" w:hAnsiTheme="minorHAnsi" w:cstheme="minorHAnsi"/>
          <w:b w:val="0"/>
          <w:sz w:val="22"/>
          <w:szCs w:val="22"/>
        </w:rPr>
        <w:t xml:space="preserve"> selection of the local compan</w:t>
      </w:r>
      <w:r w:rsidR="00404F9A">
        <w:rPr>
          <w:rFonts w:asciiTheme="minorHAnsi" w:hAnsiTheme="minorHAnsi" w:cstheme="minorHAnsi"/>
          <w:b w:val="0"/>
          <w:sz w:val="22"/>
          <w:szCs w:val="22"/>
        </w:rPr>
        <w:t>y</w:t>
      </w:r>
      <w:r w:rsidR="00116566">
        <w:rPr>
          <w:rFonts w:asciiTheme="minorHAnsi" w:hAnsiTheme="minorHAnsi" w:cstheme="minorHAnsi"/>
          <w:b w:val="0"/>
          <w:sz w:val="22"/>
          <w:szCs w:val="22"/>
          <w:lang w:val="en-US"/>
        </w:rPr>
        <w:t>.</w:t>
      </w:r>
      <w:r w:rsidR="00F50404">
        <w:rPr>
          <w:rFonts w:asciiTheme="minorHAnsi" w:hAnsiTheme="minorHAnsi" w:cstheme="minorHAnsi"/>
          <w:b w:val="0"/>
          <w:sz w:val="22"/>
          <w:szCs w:val="22"/>
        </w:rPr>
        <w:t xml:space="preserve"> </w:t>
      </w:r>
    </w:p>
    <w:p w14:paraId="7D27EC7F" w14:textId="77777777" w:rsidR="00F519FA" w:rsidRDefault="00F519FA" w:rsidP="00F519FA">
      <w:pPr>
        <w:pStyle w:val="ListParagraph"/>
        <w:ind w:left="862"/>
        <w:jc w:val="both"/>
        <w:rPr>
          <w:rFonts w:asciiTheme="minorHAnsi" w:hAnsiTheme="minorHAnsi" w:cstheme="minorHAnsi"/>
          <w:b w:val="0"/>
          <w:sz w:val="22"/>
          <w:szCs w:val="22"/>
        </w:rPr>
      </w:pPr>
    </w:p>
    <w:p w14:paraId="05E15628" w14:textId="5701A9D7" w:rsidR="000A0B8E" w:rsidRPr="007C3669" w:rsidRDefault="00F50404" w:rsidP="000A0B8E">
      <w:pPr>
        <w:pStyle w:val="ListParagraph"/>
        <w:numPr>
          <w:ilvl w:val="0"/>
          <w:numId w:val="11"/>
        </w:numPr>
        <w:jc w:val="both"/>
        <w:rPr>
          <w:rFonts w:asciiTheme="minorHAnsi" w:hAnsiTheme="minorHAnsi" w:cstheme="minorHAnsi"/>
          <w:b w:val="0"/>
          <w:sz w:val="22"/>
          <w:szCs w:val="22"/>
        </w:rPr>
      </w:pPr>
      <w:r>
        <w:rPr>
          <w:rFonts w:asciiTheme="minorHAnsi" w:hAnsiTheme="minorHAnsi" w:cstheme="minorHAnsi"/>
          <w:b w:val="0"/>
          <w:sz w:val="22"/>
          <w:szCs w:val="22"/>
        </w:rPr>
        <w:t xml:space="preserve">6 business projects that have been approved by the </w:t>
      </w:r>
      <w:r w:rsidR="002E3993">
        <w:rPr>
          <w:rFonts w:asciiTheme="minorHAnsi" w:hAnsiTheme="minorHAnsi" w:cstheme="minorHAnsi"/>
          <w:b w:val="0"/>
          <w:sz w:val="22"/>
          <w:szCs w:val="22"/>
        </w:rPr>
        <w:t>Council in</w:t>
      </w:r>
      <w:r>
        <w:rPr>
          <w:rFonts w:asciiTheme="minorHAnsi" w:hAnsiTheme="minorHAnsi" w:cstheme="minorHAnsi"/>
          <w:b w:val="0"/>
          <w:sz w:val="22"/>
          <w:szCs w:val="22"/>
        </w:rPr>
        <w:t xml:space="preserve"> September 2019 were handed over to the company </w:t>
      </w:r>
      <w:r w:rsidR="000A4A40">
        <w:rPr>
          <w:rFonts w:asciiTheme="minorHAnsi" w:hAnsiTheme="minorHAnsi" w:cstheme="minorHAnsi"/>
          <w:b w:val="0"/>
          <w:sz w:val="22"/>
          <w:szCs w:val="22"/>
        </w:rPr>
        <w:t>for the development of feasibility studies. As of the e</w:t>
      </w:r>
      <w:r w:rsidR="00D12623">
        <w:rPr>
          <w:rFonts w:asciiTheme="minorHAnsi" w:hAnsiTheme="minorHAnsi" w:cstheme="minorHAnsi"/>
          <w:b w:val="0"/>
          <w:sz w:val="22"/>
          <w:szCs w:val="22"/>
        </w:rPr>
        <w:t>nd of January 2020</w:t>
      </w:r>
      <w:r w:rsidR="000A4A40">
        <w:rPr>
          <w:rFonts w:asciiTheme="minorHAnsi" w:hAnsiTheme="minorHAnsi" w:cstheme="minorHAnsi"/>
          <w:b w:val="0"/>
          <w:sz w:val="22"/>
          <w:szCs w:val="22"/>
        </w:rPr>
        <w:t xml:space="preserve">, these business projects have the following status: </w:t>
      </w:r>
      <w:bookmarkStart w:id="2" w:name="_Hlk30754138"/>
      <w:r w:rsidR="000A4A40">
        <w:rPr>
          <w:rFonts w:asciiTheme="minorHAnsi" w:hAnsiTheme="minorHAnsi" w:cstheme="minorHAnsi"/>
          <w:b w:val="0"/>
          <w:sz w:val="22"/>
          <w:szCs w:val="22"/>
        </w:rPr>
        <w:t xml:space="preserve">the agreements of co-financing the development of feasibility studies </w:t>
      </w:r>
      <w:bookmarkEnd w:id="2"/>
      <w:r w:rsidR="000A4A40">
        <w:rPr>
          <w:rFonts w:asciiTheme="minorHAnsi" w:hAnsiTheme="minorHAnsi" w:cstheme="minorHAnsi"/>
          <w:b w:val="0"/>
          <w:sz w:val="22"/>
          <w:szCs w:val="22"/>
        </w:rPr>
        <w:t>have been signed with owners of 4 business projects</w:t>
      </w:r>
      <w:r w:rsidR="008F033F">
        <w:rPr>
          <w:rFonts w:asciiTheme="minorHAnsi" w:hAnsiTheme="minorHAnsi" w:cstheme="minorHAnsi"/>
          <w:b w:val="0"/>
          <w:sz w:val="22"/>
          <w:szCs w:val="22"/>
        </w:rPr>
        <w:t>: the fully developed feasibility studies of 2 business projects have been submitted to</w:t>
      </w:r>
      <w:r w:rsidR="000966B9">
        <w:rPr>
          <w:rFonts w:asciiTheme="minorHAnsi" w:hAnsiTheme="minorHAnsi" w:cstheme="minorHAnsi"/>
          <w:b w:val="0"/>
          <w:sz w:val="22"/>
          <w:szCs w:val="22"/>
        </w:rPr>
        <w:t xml:space="preserve"> the RKDF and are in the process of review by the RKDF, the 3</w:t>
      </w:r>
      <w:r w:rsidR="000966B9" w:rsidRPr="000966B9">
        <w:rPr>
          <w:rFonts w:asciiTheme="minorHAnsi" w:hAnsiTheme="minorHAnsi" w:cstheme="minorHAnsi"/>
          <w:b w:val="0"/>
          <w:sz w:val="22"/>
          <w:szCs w:val="22"/>
          <w:vertAlign w:val="superscript"/>
        </w:rPr>
        <w:t>rd</w:t>
      </w:r>
      <w:r w:rsidR="000966B9">
        <w:rPr>
          <w:rFonts w:asciiTheme="minorHAnsi" w:hAnsiTheme="minorHAnsi" w:cstheme="minorHAnsi"/>
          <w:b w:val="0"/>
          <w:sz w:val="22"/>
          <w:szCs w:val="22"/>
        </w:rPr>
        <w:t xml:space="preserve"> business project is to be submitted to the RKDF in February 2020 and the 4</w:t>
      </w:r>
      <w:r w:rsidR="000966B9" w:rsidRPr="000966B9">
        <w:rPr>
          <w:rFonts w:asciiTheme="minorHAnsi" w:hAnsiTheme="minorHAnsi" w:cstheme="minorHAnsi"/>
          <w:b w:val="0"/>
          <w:sz w:val="22"/>
          <w:szCs w:val="22"/>
          <w:vertAlign w:val="superscript"/>
        </w:rPr>
        <w:t>th</w:t>
      </w:r>
      <w:r w:rsidR="000966B9">
        <w:rPr>
          <w:rFonts w:asciiTheme="minorHAnsi" w:hAnsiTheme="minorHAnsi" w:cstheme="minorHAnsi"/>
          <w:b w:val="0"/>
          <w:sz w:val="22"/>
          <w:szCs w:val="22"/>
        </w:rPr>
        <w:t xml:space="preserve"> project is at the stage of development</w:t>
      </w:r>
      <w:r w:rsidR="000A4A40">
        <w:rPr>
          <w:rFonts w:asciiTheme="minorHAnsi" w:hAnsiTheme="minorHAnsi" w:cstheme="minorHAnsi"/>
          <w:b w:val="0"/>
          <w:sz w:val="22"/>
          <w:szCs w:val="22"/>
        </w:rPr>
        <w:t xml:space="preserve">; </w:t>
      </w:r>
      <w:r w:rsidR="005C2293">
        <w:rPr>
          <w:rFonts w:asciiTheme="minorHAnsi" w:hAnsiTheme="minorHAnsi" w:cstheme="minorHAnsi"/>
          <w:b w:val="0"/>
          <w:sz w:val="22"/>
          <w:szCs w:val="22"/>
        </w:rPr>
        <w:t>1</w:t>
      </w:r>
      <w:r w:rsidR="000A4A40">
        <w:rPr>
          <w:rFonts w:asciiTheme="minorHAnsi" w:hAnsiTheme="minorHAnsi" w:cstheme="minorHAnsi"/>
          <w:b w:val="0"/>
          <w:sz w:val="22"/>
          <w:szCs w:val="22"/>
        </w:rPr>
        <w:t xml:space="preserve"> business project</w:t>
      </w:r>
      <w:r w:rsidR="009A351D">
        <w:rPr>
          <w:rFonts w:asciiTheme="minorHAnsi" w:hAnsiTheme="minorHAnsi" w:cstheme="minorHAnsi"/>
          <w:b w:val="0"/>
          <w:sz w:val="22"/>
          <w:szCs w:val="22"/>
        </w:rPr>
        <w:t xml:space="preserve"> is</w:t>
      </w:r>
      <w:r w:rsidR="000A4A40">
        <w:rPr>
          <w:rFonts w:asciiTheme="minorHAnsi" w:hAnsiTheme="minorHAnsi" w:cstheme="minorHAnsi"/>
          <w:b w:val="0"/>
          <w:sz w:val="22"/>
          <w:szCs w:val="22"/>
        </w:rPr>
        <w:t xml:space="preserve"> on hold status: </w:t>
      </w:r>
      <w:r w:rsidR="00A252C9">
        <w:rPr>
          <w:rFonts w:asciiTheme="minorHAnsi" w:hAnsiTheme="minorHAnsi" w:cstheme="minorHAnsi"/>
          <w:b w:val="0"/>
          <w:sz w:val="22"/>
          <w:szCs w:val="22"/>
        </w:rPr>
        <w:t>the company</w:t>
      </w:r>
      <w:r w:rsidR="000A4A40">
        <w:rPr>
          <w:rFonts w:asciiTheme="minorHAnsi" w:hAnsiTheme="minorHAnsi" w:cstheme="minorHAnsi"/>
          <w:b w:val="0"/>
          <w:sz w:val="22"/>
          <w:szCs w:val="22"/>
        </w:rPr>
        <w:t xml:space="preserve"> has </w:t>
      </w:r>
      <w:r w:rsidR="003C1932">
        <w:rPr>
          <w:rFonts w:asciiTheme="minorHAnsi" w:hAnsiTheme="minorHAnsi" w:cstheme="minorHAnsi"/>
          <w:b w:val="0"/>
          <w:sz w:val="22"/>
          <w:szCs w:val="22"/>
        </w:rPr>
        <w:t xml:space="preserve">also </w:t>
      </w:r>
      <w:r w:rsidR="000A4A40">
        <w:rPr>
          <w:rFonts w:asciiTheme="minorHAnsi" w:hAnsiTheme="minorHAnsi" w:cstheme="minorHAnsi"/>
          <w:b w:val="0"/>
          <w:sz w:val="22"/>
          <w:szCs w:val="22"/>
        </w:rPr>
        <w:t>applied for financing in the frame of the state program on financing the development of regions</w:t>
      </w:r>
      <w:r w:rsidR="009B5D84">
        <w:rPr>
          <w:rFonts w:asciiTheme="minorHAnsi" w:hAnsiTheme="minorHAnsi" w:cstheme="minorHAnsi"/>
          <w:b w:val="0"/>
          <w:sz w:val="22"/>
          <w:szCs w:val="22"/>
        </w:rPr>
        <w:t xml:space="preserve"> and awaiting for their decision;</w:t>
      </w:r>
      <w:r w:rsidR="000A4A40">
        <w:rPr>
          <w:rFonts w:asciiTheme="minorHAnsi" w:hAnsiTheme="minorHAnsi" w:cstheme="minorHAnsi"/>
          <w:b w:val="0"/>
          <w:sz w:val="22"/>
          <w:szCs w:val="22"/>
        </w:rPr>
        <w:t xml:space="preserve"> </w:t>
      </w:r>
      <w:r w:rsidR="00A252C9">
        <w:rPr>
          <w:rFonts w:asciiTheme="minorHAnsi" w:hAnsiTheme="minorHAnsi" w:cstheme="minorHAnsi"/>
          <w:b w:val="0"/>
          <w:sz w:val="22"/>
          <w:szCs w:val="22"/>
        </w:rPr>
        <w:t>1 business project withdrew its application.</w:t>
      </w:r>
      <w:r w:rsidR="00870349">
        <w:rPr>
          <w:rFonts w:asciiTheme="minorHAnsi" w:hAnsiTheme="minorHAnsi" w:cstheme="minorHAnsi"/>
          <w:b w:val="0"/>
          <w:sz w:val="22"/>
          <w:szCs w:val="22"/>
        </w:rPr>
        <w:t xml:space="preserve"> </w:t>
      </w:r>
    </w:p>
    <w:p w14:paraId="30B2FA20" w14:textId="77777777" w:rsidR="000A0B8E" w:rsidRDefault="000A0B8E" w:rsidP="00A252C9">
      <w:pPr>
        <w:pStyle w:val="ListParagraph"/>
        <w:ind w:left="862"/>
        <w:jc w:val="both"/>
        <w:rPr>
          <w:rFonts w:asciiTheme="minorHAnsi" w:hAnsiTheme="minorHAnsi" w:cstheme="minorHAnsi"/>
          <w:b w:val="0"/>
          <w:sz w:val="22"/>
          <w:szCs w:val="22"/>
        </w:rPr>
      </w:pPr>
    </w:p>
    <w:p w14:paraId="5D325CF0" w14:textId="5526EC5A" w:rsidR="00AF57E0" w:rsidRPr="00F015CC" w:rsidRDefault="008C31CA" w:rsidP="00F015CC">
      <w:pPr>
        <w:pStyle w:val="ListParagraph"/>
        <w:numPr>
          <w:ilvl w:val="0"/>
          <w:numId w:val="11"/>
        </w:numPr>
        <w:jc w:val="both"/>
        <w:rPr>
          <w:rFonts w:asciiTheme="minorHAnsi" w:hAnsiTheme="minorHAnsi" w:cstheme="minorHAnsi"/>
          <w:b w:val="0"/>
          <w:sz w:val="22"/>
          <w:szCs w:val="22"/>
        </w:rPr>
      </w:pPr>
      <w:r>
        <w:rPr>
          <w:rFonts w:asciiTheme="minorHAnsi" w:hAnsiTheme="minorHAnsi" w:cstheme="minorHAnsi"/>
          <w:b w:val="0"/>
          <w:sz w:val="22"/>
          <w:szCs w:val="22"/>
        </w:rPr>
        <w:t xml:space="preserve">As part of </w:t>
      </w:r>
      <w:r w:rsidR="00ED53D5">
        <w:rPr>
          <w:rFonts w:asciiTheme="minorHAnsi" w:hAnsiTheme="minorHAnsi" w:cstheme="minorHAnsi"/>
          <w:b w:val="0"/>
          <w:sz w:val="22"/>
          <w:szCs w:val="22"/>
        </w:rPr>
        <w:t xml:space="preserve">the efforts </w:t>
      </w:r>
      <w:r>
        <w:rPr>
          <w:rFonts w:asciiTheme="minorHAnsi" w:hAnsiTheme="minorHAnsi" w:cstheme="minorHAnsi"/>
          <w:b w:val="0"/>
          <w:sz w:val="22"/>
          <w:szCs w:val="22"/>
        </w:rPr>
        <w:t>to strengthen</w:t>
      </w:r>
      <w:r w:rsidR="00114779">
        <w:rPr>
          <w:rFonts w:asciiTheme="minorHAnsi" w:hAnsiTheme="minorHAnsi" w:cstheme="minorHAnsi"/>
          <w:b w:val="0"/>
          <w:sz w:val="22"/>
          <w:szCs w:val="22"/>
        </w:rPr>
        <w:t xml:space="preserve"> the</w:t>
      </w:r>
      <w:r>
        <w:rPr>
          <w:rFonts w:asciiTheme="minorHAnsi" w:hAnsiTheme="minorHAnsi" w:cstheme="minorHAnsi"/>
          <w:b w:val="0"/>
          <w:sz w:val="22"/>
          <w:szCs w:val="22"/>
        </w:rPr>
        <w:t xml:space="preserve"> capacities of entrepreneurs in </w:t>
      </w:r>
      <w:r w:rsidR="00ED53D5">
        <w:rPr>
          <w:rFonts w:asciiTheme="minorHAnsi" w:hAnsiTheme="minorHAnsi" w:cstheme="minorHAnsi"/>
          <w:b w:val="0"/>
          <w:sz w:val="22"/>
          <w:szCs w:val="22"/>
        </w:rPr>
        <w:t xml:space="preserve">preparation of bankable projects, </w:t>
      </w:r>
      <w:r>
        <w:rPr>
          <w:rFonts w:asciiTheme="minorHAnsi" w:hAnsiTheme="minorHAnsi" w:cstheme="minorHAnsi"/>
          <w:b w:val="0"/>
          <w:sz w:val="22"/>
          <w:szCs w:val="22"/>
        </w:rPr>
        <w:t>UNDP provided</w:t>
      </w:r>
      <w:r w:rsidR="00152836">
        <w:rPr>
          <w:rFonts w:asciiTheme="minorHAnsi" w:hAnsiTheme="minorHAnsi" w:cstheme="minorHAnsi"/>
          <w:b w:val="0"/>
          <w:sz w:val="22"/>
          <w:szCs w:val="22"/>
        </w:rPr>
        <w:t xml:space="preserve"> the</w:t>
      </w:r>
      <w:r>
        <w:rPr>
          <w:rFonts w:asciiTheme="minorHAnsi" w:hAnsiTheme="minorHAnsi" w:cstheme="minorHAnsi"/>
          <w:b w:val="0"/>
          <w:sz w:val="22"/>
          <w:szCs w:val="22"/>
        </w:rPr>
        <w:t xml:space="preserve"> technical support to </w:t>
      </w:r>
      <w:r w:rsidR="00B04210">
        <w:rPr>
          <w:rFonts w:asciiTheme="minorHAnsi" w:hAnsiTheme="minorHAnsi" w:cstheme="minorHAnsi"/>
          <w:b w:val="0"/>
          <w:sz w:val="22"/>
          <w:szCs w:val="22"/>
        </w:rPr>
        <w:t xml:space="preserve">the </w:t>
      </w:r>
      <w:r>
        <w:rPr>
          <w:rFonts w:asciiTheme="minorHAnsi" w:hAnsiTheme="minorHAnsi" w:cstheme="minorHAnsi"/>
          <w:b w:val="0"/>
          <w:sz w:val="22"/>
          <w:szCs w:val="22"/>
        </w:rPr>
        <w:t>RKDF to</w:t>
      </w:r>
      <w:r w:rsidR="00602463">
        <w:rPr>
          <w:rFonts w:asciiTheme="minorHAnsi" w:hAnsiTheme="minorHAnsi" w:cstheme="minorHAnsi"/>
          <w:b w:val="0"/>
          <w:sz w:val="22"/>
          <w:szCs w:val="22"/>
        </w:rPr>
        <w:t xml:space="preserve"> d</w:t>
      </w:r>
      <w:r w:rsidR="001B4993" w:rsidRPr="00F015CC">
        <w:rPr>
          <w:rFonts w:asciiTheme="minorHAnsi" w:hAnsiTheme="minorHAnsi" w:cstheme="minorHAnsi"/>
          <w:b w:val="0"/>
          <w:sz w:val="22"/>
          <w:szCs w:val="22"/>
        </w:rPr>
        <w:t>evelop b</w:t>
      </w:r>
      <w:r w:rsidR="00AF57E0" w:rsidRPr="00F015CC">
        <w:rPr>
          <w:rFonts w:asciiTheme="minorHAnsi" w:hAnsiTheme="minorHAnsi" w:cstheme="minorHAnsi"/>
          <w:b w:val="0"/>
          <w:sz w:val="22"/>
          <w:szCs w:val="22"/>
        </w:rPr>
        <w:t>usiness plan templates for various sectors funded by the R</w:t>
      </w:r>
      <w:r w:rsidR="001B4993" w:rsidRPr="00F015CC">
        <w:rPr>
          <w:rFonts w:asciiTheme="minorHAnsi" w:hAnsiTheme="minorHAnsi" w:cstheme="minorHAnsi"/>
          <w:b w:val="0"/>
          <w:sz w:val="22"/>
          <w:szCs w:val="22"/>
        </w:rPr>
        <w:t>KDF</w:t>
      </w:r>
      <w:r w:rsidR="00AF57E0" w:rsidRPr="00F015CC">
        <w:rPr>
          <w:rFonts w:asciiTheme="minorHAnsi" w:hAnsiTheme="minorHAnsi" w:cstheme="minorHAnsi"/>
          <w:b w:val="0"/>
          <w:sz w:val="22"/>
          <w:szCs w:val="22"/>
        </w:rPr>
        <w:t xml:space="preserve"> to stimulate and enhance </w:t>
      </w:r>
      <w:r w:rsidR="008450BF" w:rsidRPr="00F015CC">
        <w:rPr>
          <w:rFonts w:asciiTheme="minorHAnsi" w:hAnsiTheme="minorHAnsi" w:cstheme="minorHAnsi"/>
          <w:b w:val="0"/>
          <w:sz w:val="22"/>
          <w:szCs w:val="22"/>
        </w:rPr>
        <w:t xml:space="preserve">the </w:t>
      </w:r>
      <w:r w:rsidR="00AF57E0" w:rsidRPr="00F015CC">
        <w:rPr>
          <w:rFonts w:asciiTheme="minorHAnsi" w:hAnsiTheme="minorHAnsi" w:cstheme="minorHAnsi"/>
          <w:b w:val="0"/>
          <w:sz w:val="22"/>
          <w:szCs w:val="22"/>
        </w:rPr>
        <w:t>access</w:t>
      </w:r>
      <w:r w:rsidR="000966B9">
        <w:rPr>
          <w:rFonts w:asciiTheme="minorHAnsi" w:hAnsiTheme="minorHAnsi" w:cstheme="minorHAnsi"/>
          <w:b w:val="0"/>
          <w:sz w:val="22"/>
          <w:szCs w:val="22"/>
        </w:rPr>
        <w:t xml:space="preserve"> </w:t>
      </w:r>
      <w:r w:rsidR="00AF57E0" w:rsidRPr="00F015CC">
        <w:rPr>
          <w:rFonts w:asciiTheme="minorHAnsi" w:hAnsiTheme="minorHAnsi" w:cstheme="minorHAnsi"/>
          <w:b w:val="0"/>
          <w:sz w:val="22"/>
          <w:szCs w:val="22"/>
        </w:rPr>
        <w:t xml:space="preserve"> to financial services</w:t>
      </w:r>
      <w:r w:rsidR="000966B9">
        <w:rPr>
          <w:rFonts w:asciiTheme="minorHAnsi" w:hAnsiTheme="minorHAnsi" w:cstheme="minorHAnsi"/>
          <w:b w:val="0"/>
          <w:sz w:val="22"/>
          <w:szCs w:val="22"/>
        </w:rPr>
        <w:t xml:space="preserve"> for the entrepreneurs</w:t>
      </w:r>
      <w:r w:rsidR="00AF57E0" w:rsidRPr="00F015CC">
        <w:rPr>
          <w:rFonts w:asciiTheme="minorHAnsi" w:hAnsiTheme="minorHAnsi" w:cstheme="minorHAnsi"/>
          <w:b w:val="0"/>
          <w:sz w:val="22"/>
          <w:szCs w:val="22"/>
        </w:rPr>
        <w:t>, as well as to overcome obstacles and accelerate investment flows</w:t>
      </w:r>
      <w:r w:rsidR="0020047E" w:rsidRPr="00F015CC">
        <w:rPr>
          <w:rFonts w:asciiTheme="minorHAnsi" w:hAnsiTheme="minorHAnsi" w:cstheme="minorHAnsi"/>
          <w:b w:val="0"/>
          <w:sz w:val="22"/>
          <w:szCs w:val="22"/>
        </w:rPr>
        <w:t xml:space="preserve"> into national priority projects.</w:t>
      </w:r>
      <w:r w:rsidR="00AF57E0" w:rsidRPr="00F015CC">
        <w:rPr>
          <w:rFonts w:asciiTheme="minorHAnsi" w:hAnsiTheme="minorHAnsi" w:cstheme="minorHAnsi"/>
          <w:b w:val="0"/>
          <w:sz w:val="22"/>
          <w:szCs w:val="22"/>
        </w:rPr>
        <w:t xml:space="preserve"> </w:t>
      </w:r>
      <w:r w:rsidR="007E316C">
        <w:rPr>
          <w:rFonts w:asciiTheme="minorHAnsi" w:hAnsiTheme="minorHAnsi" w:cstheme="minorHAnsi"/>
          <w:b w:val="0"/>
          <w:sz w:val="22"/>
          <w:szCs w:val="22"/>
        </w:rPr>
        <w:t>The b</w:t>
      </w:r>
      <w:r w:rsidR="00AF57E0" w:rsidRPr="00F015CC">
        <w:rPr>
          <w:rFonts w:asciiTheme="minorHAnsi" w:hAnsiTheme="minorHAnsi" w:cstheme="minorHAnsi"/>
          <w:b w:val="0"/>
          <w:sz w:val="22"/>
          <w:szCs w:val="22"/>
        </w:rPr>
        <w:t xml:space="preserve">usiness plan </w:t>
      </w:r>
      <w:r w:rsidR="000966B9" w:rsidRPr="00F015CC">
        <w:rPr>
          <w:rFonts w:asciiTheme="minorHAnsi" w:hAnsiTheme="minorHAnsi" w:cstheme="minorHAnsi"/>
          <w:b w:val="0"/>
          <w:sz w:val="22"/>
          <w:szCs w:val="22"/>
        </w:rPr>
        <w:t>templates,</w:t>
      </w:r>
      <w:r w:rsidR="00351388" w:rsidRPr="00F015CC">
        <w:rPr>
          <w:rFonts w:asciiTheme="minorHAnsi" w:hAnsiTheme="minorHAnsi" w:cstheme="minorHAnsi"/>
          <w:b w:val="0"/>
          <w:sz w:val="22"/>
          <w:szCs w:val="22"/>
        </w:rPr>
        <w:t xml:space="preserve"> and financial models</w:t>
      </w:r>
      <w:r w:rsidR="00E96C63">
        <w:rPr>
          <w:rFonts w:asciiTheme="minorHAnsi" w:hAnsiTheme="minorHAnsi" w:cstheme="minorHAnsi"/>
          <w:b w:val="0"/>
          <w:sz w:val="22"/>
          <w:szCs w:val="22"/>
        </w:rPr>
        <w:t xml:space="preserve"> are</w:t>
      </w:r>
      <w:r w:rsidR="00351388" w:rsidRPr="00F015CC">
        <w:rPr>
          <w:rFonts w:asciiTheme="minorHAnsi" w:hAnsiTheme="minorHAnsi" w:cstheme="minorHAnsi"/>
          <w:b w:val="0"/>
          <w:sz w:val="22"/>
          <w:szCs w:val="22"/>
        </w:rPr>
        <w:t xml:space="preserve"> </w:t>
      </w:r>
      <w:r w:rsidR="000966B9">
        <w:rPr>
          <w:rFonts w:asciiTheme="minorHAnsi" w:hAnsiTheme="minorHAnsi" w:cstheme="minorHAnsi"/>
          <w:b w:val="0"/>
          <w:sz w:val="22"/>
          <w:szCs w:val="22"/>
        </w:rPr>
        <w:t>presented on</w:t>
      </w:r>
      <w:r w:rsidR="00351388" w:rsidRPr="00F015CC">
        <w:rPr>
          <w:rFonts w:asciiTheme="minorHAnsi" w:hAnsiTheme="minorHAnsi" w:cstheme="minorHAnsi"/>
          <w:b w:val="0"/>
          <w:sz w:val="22"/>
          <w:szCs w:val="22"/>
        </w:rPr>
        <w:t xml:space="preserve"> </w:t>
      </w:r>
      <w:r w:rsidR="00AF57E0" w:rsidRPr="00F015CC">
        <w:rPr>
          <w:rFonts w:asciiTheme="minorHAnsi" w:hAnsiTheme="minorHAnsi" w:cstheme="minorHAnsi"/>
          <w:b w:val="0"/>
          <w:sz w:val="22"/>
          <w:szCs w:val="22"/>
        </w:rPr>
        <w:t xml:space="preserve">the </w:t>
      </w:r>
      <w:r w:rsidR="00F43D1D" w:rsidRPr="00F015CC">
        <w:rPr>
          <w:rFonts w:asciiTheme="minorHAnsi" w:hAnsiTheme="minorHAnsi" w:cstheme="minorHAnsi"/>
          <w:b w:val="0"/>
          <w:sz w:val="22"/>
          <w:szCs w:val="22"/>
        </w:rPr>
        <w:t>RKDF</w:t>
      </w:r>
      <w:r w:rsidR="0015490B">
        <w:rPr>
          <w:rFonts w:asciiTheme="minorHAnsi" w:hAnsiTheme="minorHAnsi" w:cstheme="minorHAnsi"/>
          <w:b w:val="0"/>
          <w:sz w:val="22"/>
          <w:szCs w:val="22"/>
          <w:lang w:val="en-US"/>
        </w:rPr>
        <w:t>’s website</w:t>
      </w:r>
      <w:r w:rsidR="00AF57E0" w:rsidRPr="00F015CC">
        <w:rPr>
          <w:rFonts w:asciiTheme="minorHAnsi" w:hAnsiTheme="minorHAnsi" w:cstheme="minorHAnsi"/>
          <w:b w:val="0"/>
          <w:sz w:val="22"/>
          <w:szCs w:val="22"/>
        </w:rPr>
        <w:t>.</w:t>
      </w:r>
    </w:p>
    <w:p w14:paraId="70244FAE" w14:textId="77777777" w:rsidR="00D94155" w:rsidRDefault="00D94155" w:rsidP="00D94155">
      <w:pPr>
        <w:pStyle w:val="ListParagraph"/>
        <w:ind w:left="862"/>
        <w:jc w:val="both"/>
        <w:rPr>
          <w:rFonts w:asciiTheme="minorHAnsi" w:hAnsiTheme="minorHAnsi" w:cstheme="minorHAnsi"/>
          <w:b w:val="0"/>
          <w:sz w:val="22"/>
          <w:szCs w:val="22"/>
        </w:rPr>
      </w:pPr>
    </w:p>
    <w:p w14:paraId="3C11C703" w14:textId="086BE6F0" w:rsidR="002378F8" w:rsidRDefault="00602463" w:rsidP="00F015CC">
      <w:pPr>
        <w:pStyle w:val="ListParagraph"/>
        <w:numPr>
          <w:ilvl w:val="0"/>
          <w:numId w:val="11"/>
        </w:numPr>
        <w:jc w:val="both"/>
        <w:rPr>
          <w:rFonts w:asciiTheme="minorHAnsi" w:hAnsiTheme="minorHAnsi" w:cstheme="minorHAnsi"/>
          <w:b w:val="0"/>
          <w:sz w:val="22"/>
          <w:szCs w:val="22"/>
        </w:rPr>
      </w:pPr>
      <w:r>
        <w:rPr>
          <w:rFonts w:asciiTheme="minorHAnsi" w:hAnsiTheme="minorHAnsi" w:cstheme="minorHAnsi"/>
          <w:b w:val="0"/>
          <w:sz w:val="22"/>
          <w:szCs w:val="22"/>
        </w:rPr>
        <w:t xml:space="preserve">In support </w:t>
      </w:r>
      <w:r w:rsidR="00657043">
        <w:rPr>
          <w:rFonts w:asciiTheme="minorHAnsi" w:hAnsiTheme="minorHAnsi" w:cstheme="minorHAnsi"/>
          <w:b w:val="0"/>
          <w:sz w:val="22"/>
          <w:szCs w:val="22"/>
        </w:rPr>
        <w:t xml:space="preserve">of </w:t>
      </w:r>
      <w:r>
        <w:rPr>
          <w:rFonts w:asciiTheme="minorHAnsi" w:hAnsiTheme="minorHAnsi" w:cstheme="minorHAnsi"/>
          <w:b w:val="0"/>
          <w:sz w:val="22"/>
          <w:szCs w:val="22"/>
        </w:rPr>
        <w:t xml:space="preserve">a new streamline of </w:t>
      </w:r>
      <w:r w:rsidR="00A06326" w:rsidRPr="00F015CC">
        <w:rPr>
          <w:rFonts w:asciiTheme="minorHAnsi" w:hAnsiTheme="minorHAnsi" w:cstheme="minorHAnsi"/>
          <w:b w:val="0"/>
          <w:sz w:val="22"/>
          <w:szCs w:val="22"/>
        </w:rPr>
        <w:t xml:space="preserve">RKDF </w:t>
      </w:r>
      <w:r>
        <w:rPr>
          <w:rFonts w:asciiTheme="minorHAnsi" w:hAnsiTheme="minorHAnsi" w:cstheme="minorHAnsi"/>
          <w:b w:val="0"/>
          <w:sz w:val="22"/>
          <w:szCs w:val="22"/>
        </w:rPr>
        <w:t xml:space="preserve">to support financing </w:t>
      </w:r>
      <w:r w:rsidR="00073849">
        <w:rPr>
          <w:rFonts w:asciiTheme="minorHAnsi" w:hAnsiTheme="minorHAnsi" w:cstheme="minorHAnsi"/>
          <w:b w:val="0"/>
          <w:sz w:val="22"/>
          <w:szCs w:val="22"/>
        </w:rPr>
        <w:t>the</w:t>
      </w:r>
      <w:r>
        <w:rPr>
          <w:rFonts w:asciiTheme="minorHAnsi" w:hAnsiTheme="minorHAnsi" w:cstheme="minorHAnsi"/>
          <w:b w:val="0"/>
          <w:sz w:val="22"/>
          <w:szCs w:val="22"/>
        </w:rPr>
        <w:t xml:space="preserve"> start-up project</w:t>
      </w:r>
      <w:r w:rsidR="00073849">
        <w:rPr>
          <w:rFonts w:asciiTheme="minorHAnsi" w:hAnsiTheme="minorHAnsi" w:cstheme="minorHAnsi"/>
          <w:b w:val="0"/>
          <w:sz w:val="22"/>
          <w:szCs w:val="22"/>
        </w:rPr>
        <w:t>s</w:t>
      </w:r>
      <w:r>
        <w:rPr>
          <w:rFonts w:asciiTheme="minorHAnsi" w:hAnsiTheme="minorHAnsi" w:cstheme="minorHAnsi"/>
          <w:b w:val="0"/>
          <w:sz w:val="22"/>
          <w:szCs w:val="22"/>
        </w:rPr>
        <w:t xml:space="preserve"> </w:t>
      </w:r>
      <w:r w:rsidR="00D94155">
        <w:rPr>
          <w:rFonts w:asciiTheme="minorHAnsi" w:hAnsiTheme="minorHAnsi" w:cstheme="minorHAnsi"/>
          <w:b w:val="0"/>
          <w:sz w:val="22"/>
          <w:szCs w:val="22"/>
        </w:rPr>
        <w:t xml:space="preserve">across the country, UNDP helped the Fund to organize and deliver intensive </w:t>
      </w:r>
      <w:r w:rsidR="002378F8" w:rsidRPr="00F015CC">
        <w:rPr>
          <w:rFonts w:asciiTheme="minorHAnsi" w:hAnsiTheme="minorHAnsi" w:cstheme="minorHAnsi"/>
          <w:b w:val="0"/>
          <w:sz w:val="22"/>
          <w:szCs w:val="22"/>
        </w:rPr>
        <w:t xml:space="preserve">trainings </w:t>
      </w:r>
      <w:r w:rsidR="00A06326" w:rsidRPr="00F015CC">
        <w:rPr>
          <w:rFonts w:asciiTheme="minorHAnsi" w:hAnsiTheme="minorHAnsi" w:cstheme="minorHAnsi"/>
          <w:b w:val="0"/>
          <w:sz w:val="22"/>
          <w:szCs w:val="22"/>
        </w:rPr>
        <w:t xml:space="preserve">for entrepreneurs </w:t>
      </w:r>
      <w:r w:rsidR="002378F8" w:rsidRPr="00F015CC">
        <w:rPr>
          <w:rFonts w:asciiTheme="minorHAnsi" w:hAnsiTheme="minorHAnsi" w:cstheme="minorHAnsi"/>
          <w:b w:val="0"/>
          <w:sz w:val="22"/>
          <w:szCs w:val="22"/>
        </w:rPr>
        <w:t xml:space="preserve">to improve the quality of </w:t>
      </w:r>
      <w:r w:rsidR="00D94155">
        <w:rPr>
          <w:rFonts w:asciiTheme="minorHAnsi" w:hAnsiTheme="minorHAnsi" w:cstheme="minorHAnsi"/>
          <w:b w:val="0"/>
          <w:sz w:val="22"/>
          <w:szCs w:val="22"/>
        </w:rPr>
        <w:t xml:space="preserve">business </w:t>
      </w:r>
      <w:r w:rsidR="002378F8" w:rsidRPr="00F015CC">
        <w:rPr>
          <w:rFonts w:asciiTheme="minorHAnsi" w:hAnsiTheme="minorHAnsi" w:cstheme="minorHAnsi"/>
          <w:b w:val="0"/>
          <w:sz w:val="22"/>
          <w:szCs w:val="22"/>
        </w:rPr>
        <w:t>projects</w:t>
      </w:r>
      <w:r w:rsidR="00D94155">
        <w:rPr>
          <w:rFonts w:asciiTheme="minorHAnsi" w:hAnsiTheme="minorHAnsi" w:cstheme="minorHAnsi"/>
          <w:b w:val="0"/>
          <w:sz w:val="22"/>
          <w:szCs w:val="22"/>
        </w:rPr>
        <w:t xml:space="preserve"> that the Fund has</w:t>
      </w:r>
      <w:r w:rsidR="003C1932">
        <w:rPr>
          <w:rFonts w:asciiTheme="minorHAnsi" w:hAnsiTheme="minorHAnsi" w:cstheme="minorHAnsi"/>
          <w:b w:val="0"/>
          <w:sz w:val="22"/>
          <w:szCs w:val="22"/>
        </w:rPr>
        <w:t xml:space="preserve"> </w:t>
      </w:r>
      <w:r w:rsidR="00D94155">
        <w:rPr>
          <w:rFonts w:asciiTheme="minorHAnsi" w:hAnsiTheme="minorHAnsi" w:cstheme="minorHAnsi"/>
          <w:b w:val="0"/>
          <w:sz w:val="22"/>
          <w:szCs w:val="22"/>
        </w:rPr>
        <w:t>consider</w:t>
      </w:r>
      <w:r w:rsidR="003C1932">
        <w:rPr>
          <w:rFonts w:asciiTheme="minorHAnsi" w:hAnsiTheme="minorHAnsi" w:cstheme="minorHAnsi"/>
          <w:b w:val="0"/>
          <w:sz w:val="22"/>
          <w:szCs w:val="22"/>
        </w:rPr>
        <w:t>ed</w:t>
      </w:r>
      <w:r w:rsidR="00D94155">
        <w:rPr>
          <w:rFonts w:asciiTheme="minorHAnsi" w:hAnsiTheme="minorHAnsi" w:cstheme="minorHAnsi"/>
          <w:b w:val="0"/>
          <w:sz w:val="22"/>
          <w:szCs w:val="22"/>
        </w:rPr>
        <w:t xml:space="preserve"> financing under the new programme.</w:t>
      </w:r>
      <w:r w:rsidR="008B0D97">
        <w:rPr>
          <w:rFonts w:asciiTheme="minorHAnsi" w:hAnsiTheme="minorHAnsi" w:cstheme="minorHAnsi"/>
          <w:b w:val="0"/>
          <w:sz w:val="22"/>
          <w:szCs w:val="22"/>
        </w:rPr>
        <w:t xml:space="preserve"> </w:t>
      </w:r>
      <w:r w:rsidR="00582460">
        <w:rPr>
          <w:rFonts w:asciiTheme="minorHAnsi" w:hAnsiTheme="minorHAnsi" w:cstheme="minorHAnsi"/>
          <w:b w:val="0"/>
          <w:sz w:val="22"/>
          <w:szCs w:val="22"/>
        </w:rPr>
        <w:t>In August and September 2019, 3 three</w:t>
      </w:r>
      <w:r w:rsidR="00073849">
        <w:rPr>
          <w:rFonts w:asciiTheme="minorHAnsi" w:hAnsiTheme="minorHAnsi" w:cstheme="minorHAnsi"/>
          <w:b w:val="0"/>
          <w:sz w:val="22"/>
          <w:szCs w:val="22"/>
        </w:rPr>
        <w:t>-</w:t>
      </w:r>
      <w:r w:rsidR="00582460">
        <w:rPr>
          <w:rFonts w:asciiTheme="minorHAnsi" w:hAnsiTheme="minorHAnsi" w:cstheme="minorHAnsi"/>
          <w:b w:val="0"/>
          <w:sz w:val="22"/>
          <w:szCs w:val="22"/>
        </w:rPr>
        <w:t>day</w:t>
      </w:r>
      <w:r w:rsidR="003C1932">
        <w:rPr>
          <w:rFonts w:asciiTheme="minorHAnsi" w:hAnsiTheme="minorHAnsi" w:cstheme="minorHAnsi"/>
          <w:b w:val="0"/>
          <w:sz w:val="22"/>
          <w:szCs w:val="22"/>
        </w:rPr>
        <w:t xml:space="preserve"> </w:t>
      </w:r>
      <w:r w:rsidR="00582460">
        <w:rPr>
          <w:rFonts w:asciiTheme="minorHAnsi" w:hAnsiTheme="minorHAnsi" w:cstheme="minorHAnsi"/>
          <w:b w:val="0"/>
          <w:sz w:val="22"/>
          <w:szCs w:val="22"/>
        </w:rPr>
        <w:t xml:space="preserve">trainings </w:t>
      </w:r>
      <w:r w:rsidR="003C1932">
        <w:rPr>
          <w:rFonts w:asciiTheme="minorHAnsi" w:hAnsiTheme="minorHAnsi" w:cstheme="minorHAnsi"/>
          <w:b w:val="0"/>
          <w:sz w:val="22"/>
          <w:szCs w:val="22"/>
        </w:rPr>
        <w:t>were</w:t>
      </w:r>
      <w:r w:rsidR="008B0D97">
        <w:rPr>
          <w:rFonts w:asciiTheme="minorHAnsi" w:hAnsiTheme="minorHAnsi" w:cstheme="minorHAnsi"/>
          <w:b w:val="0"/>
          <w:sz w:val="22"/>
          <w:szCs w:val="22"/>
        </w:rPr>
        <w:t xml:space="preserve"> conducted in Talas, </w:t>
      </w:r>
      <w:proofErr w:type="spellStart"/>
      <w:r w:rsidR="008B0D97">
        <w:rPr>
          <w:rFonts w:asciiTheme="minorHAnsi" w:hAnsiTheme="minorHAnsi" w:cstheme="minorHAnsi"/>
          <w:b w:val="0"/>
          <w:sz w:val="22"/>
          <w:szCs w:val="22"/>
        </w:rPr>
        <w:t>Batke</w:t>
      </w:r>
      <w:r w:rsidR="00E2569A">
        <w:rPr>
          <w:rFonts w:asciiTheme="minorHAnsi" w:hAnsiTheme="minorHAnsi" w:cstheme="minorHAnsi"/>
          <w:b w:val="0"/>
          <w:sz w:val="22"/>
          <w:szCs w:val="22"/>
        </w:rPr>
        <w:t>n</w:t>
      </w:r>
      <w:proofErr w:type="spellEnd"/>
      <w:r w:rsidR="008B0D97">
        <w:rPr>
          <w:rFonts w:asciiTheme="minorHAnsi" w:hAnsiTheme="minorHAnsi" w:cstheme="minorHAnsi"/>
          <w:b w:val="0"/>
          <w:sz w:val="22"/>
          <w:szCs w:val="22"/>
        </w:rPr>
        <w:t xml:space="preserve"> and </w:t>
      </w:r>
      <w:proofErr w:type="spellStart"/>
      <w:r w:rsidR="008B0D97">
        <w:rPr>
          <w:rFonts w:asciiTheme="minorHAnsi" w:hAnsiTheme="minorHAnsi" w:cstheme="minorHAnsi"/>
          <w:b w:val="0"/>
          <w:sz w:val="22"/>
          <w:szCs w:val="22"/>
        </w:rPr>
        <w:t>Naryn</w:t>
      </w:r>
      <w:proofErr w:type="spellEnd"/>
      <w:r w:rsidR="008B0D97">
        <w:rPr>
          <w:rFonts w:asciiTheme="minorHAnsi" w:hAnsiTheme="minorHAnsi" w:cstheme="minorHAnsi"/>
          <w:b w:val="0"/>
          <w:sz w:val="22"/>
          <w:szCs w:val="22"/>
        </w:rPr>
        <w:t xml:space="preserve"> oblasts. 10 companies with a total number of 19 participants</w:t>
      </w:r>
      <w:r w:rsidR="00F519FA">
        <w:rPr>
          <w:rFonts w:asciiTheme="minorHAnsi" w:hAnsiTheme="minorHAnsi" w:cstheme="minorHAnsi"/>
          <w:b w:val="0"/>
          <w:sz w:val="22"/>
          <w:szCs w:val="22"/>
        </w:rPr>
        <w:t xml:space="preserve"> (17 male and 2 – female participants)</w:t>
      </w:r>
      <w:r w:rsidR="008B0D97">
        <w:rPr>
          <w:rFonts w:asciiTheme="minorHAnsi" w:hAnsiTheme="minorHAnsi" w:cstheme="minorHAnsi"/>
          <w:b w:val="0"/>
          <w:sz w:val="22"/>
          <w:szCs w:val="22"/>
        </w:rPr>
        <w:t xml:space="preserve"> have participated in the training. Besides the knowledge and skills that have been received during the trainings, the participants, on the base of the testing of their level of knowledge and skills, have received individual recommendations on further </w:t>
      </w:r>
      <w:r w:rsidR="00AA51C6">
        <w:rPr>
          <w:rFonts w:asciiTheme="minorHAnsi" w:hAnsiTheme="minorHAnsi" w:cstheme="minorHAnsi"/>
          <w:b w:val="0"/>
          <w:sz w:val="22"/>
          <w:szCs w:val="22"/>
        </w:rPr>
        <w:t xml:space="preserve">professional </w:t>
      </w:r>
      <w:r w:rsidR="008B0D97">
        <w:rPr>
          <w:rFonts w:asciiTheme="minorHAnsi" w:hAnsiTheme="minorHAnsi" w:cstheme="minorHAnsi"/>
          <w:b w:val="0"/>
          <w:sz w:val="22"/>
          <w:szCs w:val="22"/>
        </w:rPr>
        <w:t>development.</w:t>
      </w:r>
    </w:p>
    <w:p w14:paraId="110CA139" w14:textId="77777777" w:rsidR="00D94155" w:rsidRPr="00F015CC" w:rsidRDefault="00D94155" w:rsidP="00D94155">
      <w:pPr>
        <w:pStyle w:val="ListParagraph"/>
        <w:ind w:left="862"/>
        <w:jc w:val="both"/>
        <w:rPr>
          <w:rFonts w:asciiTheme="minorHAnsi" w:hAnsiTheme="minorHAnsi" w:cstheme="minorHAnsi"/>
          <w:b w:val="0"/>
          <w:sz w:val="22"/>
          <w:szCs w:val="22"/>
        </w:rPr>
      </w:pPr>
    </w:p>
    <w:p w14:paraId="2C91C719" w14:textId="76BDFF48" w:rsidR="007C3669" w:rsidRPr="00193653" w:rsidRDefault="00D94155" w:rsidP="00854EDA">
      <w:pPr>
        <w:pStyle w:val="ListParagraph"/>
        <w:numPr>
          <w:ilvl w:val="0"/>
          <w:numId w:val="11"/>
        </w:numPr>
        <w:jc w:val="both"/>
        <w:rPr>
          <w:rFonts w:asciiTheme="minorHAnsi" w:hAnsiTheme="minorHAnsi" w:cstheme="minorHAnsi"/>
          <w:sz w:val="22"/>
          <w:szCs w:val="22"/>
        </w:rPr>
      </w:pPr>
      <w:r w:rsidRPr="00193653">
        <w:rPr>
          <w:rFonts w:asciiTheme="minorHAnsi" w:hAnsiTheme="minorHAnsi" w:cstheme="minorHAnsi"/>
          <w:b w:val="0"/>
          <w:sz w:val="22"/>
          <w:szCs w:val="22"/>
        </w:rPr>
        <w:t>Following the request of the Ministry of Economy</w:t>
      </w:r>
      <w:r w:rsidR="00731C11">
        <w:rPr>
          <w:rFonts w:asciiTheme="minorHAnsi" w:hAnsiTheme="minorHAnsi" w:cstheme="minorHAnsi"/>
          <w:b w:val="0"/>
          <w:sz w:val="22"/>
          <w:szCs w:val="22"/>
        </w:rPr>
        <w:t xml:space="preserve"> of the Kyrgyz Republic</w:t>
      </w:r>
      <w:r w:rsidRPr="00193653">
        <w:rPr>
          <w:rFonts w:asciiTheme="minorHAnsi" w:hAnsiTheme="minorHAnsi" w:cstheme="minorHAnsi"/>
          <w:b w:val="0"/>
          <w:sz w:val="22"/>
          <w:szCs w:val="22"/>
        </w:rPr>
        <w:t>, UNDP in collaboration with the Ministry</w:t>
      </w:r>
      <w:r w:rsidR="005A0257">
        <w:rPr>
          <w:rFonts w:asciiTheme="minorHAnsi" w:hAnsiTheme="minorHAnsi" w:cstheme="minorHAnsi"/>
          <w:b w:val="0"/>
          <w:sz w:val="22"/>
          <w:szCs w:val="22"/>
        </w:rPr>
        <w:t xml:space="preserve"> organized</w:t>
      </w:r>
      <w:r w:rsidRPr="00193653">
        <w:rPr>
          <w:rFonts w:asciiTheme="minorHAnsi" w:hAnsiTheme="minorHAnsi" w:cstheme="minorHAnsi"/>
          <w:b w:val="0"/>
          <w:sz w:val="22"/>
          <w:szCs w:val="22"/>
        </w:rPr>
        <w:t xml:space="preserve"> the first</w:t>
      </w:r>
      <w:r w:rsidR="00657043">
        <w:rPr>
          <w:rFonts w:asciiTheme="minorHAnsi" w:hAnsiTheme="minorHAnsi" w:cstheme="minorHAnsi"/>
          <w:b w:val="0"/>
          <w:sz w:val="22"/>
          <w:szCs w:val="22"/>
        </w:rPr>
        <w:t>-</w:t>
      </w:r>
      <w:r w:rsidRPr="00193653">
        <w:rPr>
          <w:rFonts w:asciiTheme="minorHAnsi" w:hAnsiTheme="minorHAnsi" w:cstheme="minorHAnsi"/>
          <w:b w:val="0"/>
          <w:sz w:val="22"/>
          <w:szCs w:val="22"/>
        </w:rPr>
        <w:t xml:space="preserve">ever </w:t>
      </w:r>
      <w:r w:rsidR="002C4E2C" w:rsidRPr="00193653">
        <w:rPr>
          <w:rFonts w:asciiTheme="minorHAnsi" w:hAnsiTheme="minorHAnsi" w:cstheme="minorHAnsi"/>
          <w:b w:val="0"/>
          <w:sz w:val="22"/>
          <w:szCs w:val="22"/>
        </w:rPr>
        <w:t>EMPRETEC Program</w:t>
      </w:r>
      <w:r w:rsidR="009952F0" w:rsidRPr="00193653">
        <w:rPr>
          <w:rFonts w:asciiTheme="minorHAnsi" w:hAnsiTheme="minorHAnsi" w:cstheme="minorHAnsi"/>
          <w:b w:val="0"/>
          <w:sz w:val="22"/>
          <w:szCs w:val="22"/>
        </w:rPr>
        <w:t xml:space="preserve">. </w:t>
      </w:r>
      <w:r w:rsidRPr="00193653">
        <w:rPr>
          <w:rFonts w:asciiTheme="minorHAnsi" w:hAnsiTheme="minorHAnsi" w:cstheme="minorHAnsi"/>
          <w:b w:val="0"/>
          <w:sz w:val="22"/>
          <w:szCs w:val="22"/>
        </w:rPr>
        <w:t xml:space="preserve">The EMPRETEC is a flagship capacity building initiative </w:t>
      </w:r>
      <w:r w:rsidR="005A0257">
        <w:rPr>
          <w:rFonts w:asciiTheme="minorHAnsi" w:hAnsiTheme="minorHAnsi" w:cstheme="minorHAnsi"/>
          <w:b w:val="0"/>
          <w:sz w:val="22"/>
          <w:szCs w:val="22"/>
        </w:rPr>
        <w:t xml:space="preserve">by </w:t>
      </w:r>
      <w:r w:rsidRPr="00193653">
        <w:rPr>
          <w:rFonts w:asciiTheme="minorHAnsi" w:hAnsiTheme="minorHAnsi" w:cstheme="minorHAnsi"/>
          <w:b w:val="0"/>
          <w:sz w:val="22"/>
          <w:szCs w:val="22"/>
        </w:rPr>
        <w:t xml:space="preserve">UNCTAD that supports </w:t>
      </w:r>
      <w:r w:rsidR="00657043">
        <w:rPr>
          <w:rFonts w:asciiTheme="minorHAnsi" w:hAnsiTheme="minorHAnsi" w:cstheme="minorHAnsi"/>
          <w:b w:val="0"/>
          <w:sz w:val="22"/>
          <w:szCs w:val="22"/>
        </w:rPr>
        <w:t xml:space="preserve">the </w:t>
      </w:r>
      <w:r w:rsidRPr="00193653">
        <w:rPr>
          <w:rFonts w:asciiTheme="minorHAnsi" w:hAnsiTheme="minorHAnsi" w:cstheme="minorHAnsi"/>
          <w:b w:val="0"/>
          <w:sz w:val="22"/>
          <w:szCs w:val="22"/>
        </w:rPr>
        <w:t>promotion of entrepreneurship and micro, small and medium</w:t>
      </w:r>
      <w:r w:rsidR="00657043">
        <w:rPr>
          <w:rFonts w:asciiTheme="minorHAnsi" w:hAnsiTheme="minorHAnsi" w:cstheme="minorHAnsi"/>
          <w:b w:val="0"/>
          <w:sz w:val="22"/>
          <w:szCs w:val="22"/>
        </w:rPr>
        <w:t>-</w:t>
      </w:r>
      <w:r w:rsidRPr="00193653">
        <w:rPr>
          <w:rFonts w:asciiTheme="minorHAnsi" w:hAnsiTheme="minorHAnsi" w:cstheme="minorHAnsi"/>
          <w:b w:val="0"/>
          <w:sz w:val="22"/>
          <w:szCs w:val="22"/>
        </w:rPr>
        <w:t xml:space="preserve">sized entrepreneurs to facilitate sustainable development and inclusive growth, the programme has been rolled out in 35 countries globally with the main objective to </w:t>
      </w:r>
      <w:r w:rsidR="001F2BA0" w:rsidRPr="00193653">
        <w:rPr>
          <w:rFonts w:asciiTheme="minorHAnsi" w:hAnsiTheme="minorHAnsi" w:cstheme="minorHAnsi"/>
          <w:b w:val="0"/>
          <w:sz w:val="22"/>
          <w:szCs w:val="22"/>
        </w:rPr>
        <w:t>develop</w:t>
      </w:r>
      <w:r w:rsidR="002C4E2C" w:rsidRPr="00193653">
        <w:rPr>
          <w:rFonts w:asciiTheme="minorHAnsi" w:hAnsiTheme="minorHAnsi" w:cstheme="minorHAnsi"/>
          <w:b w:val="0"/>
          <w:sz w:val="22"/>
          <w:szCs w:val="22"/>
        </w:rPr>
        <w:t xml:space="preserve"> </w:t>
      </w:r>
      <w:r w:rsidR="001F2BA0" w:rsidRPr="00193653">
        <w:rPr>
          <w:rFonts w:asciiTheme="minorHAnsi" w:hAnsiTheme="minorHAnsi" w:cstheme="minorHAnsi"/>
          <w:b w:val="0"/>
          <w:sz w:val="22"/>
          <w:szCs w:val="22"/>
        </w:rPr>
        <w:t xml:space="preserve">the </w:t>
      </w:r>
      <w:r w:rsidR="002C4E2C" w:rsidRPr="00193653">
        <w:rPr>
          <w:rFonts w:asciiTheme="minorHAnsi" w:hAnsiTheme="minorHAnsi" w:cstheme="minorHAnsi"/>
          <w:b w:val="0"/>
          <w:sz w:val="22"/>
          <w:szCs w:val="22"/>
        </w:rPr>
        <w:t>entrepreneurial attitude towards business</w:t>
      </w:r>
      <w:r w:rsidRPr="00193653">
        <w:rPr>
          <w:rFonts w:asciiTheme="minorHAnsi" w:hAnsiTheme="minorHAnsi" w:cstheme="minorHAnsi"/>
          <w:b w:val="0"/>
          <w:sz w:val="22"/>
          <w:szCs w:val="22"/>
        </w:rPr>
        <w:t xml:space="preserve"> and </w:t>
      </w:r>
      <w:r w:rsidR="001F2BA0" w:rsidRPr="00193653">
        <w:rPr>
          <w:rFonts w:asciiTheme="minorHAnsi" w:hAnsiTheme="minorHAnsi" w:cstheme="minorHAnsi"/>
          <w:b w:val="0"/>
          <w:sz w:val="22"/>
          <w:szCs w:val="22"/>
        </w:rPr>
        <w:t>to train</w:t>
      </w:r>
      <w:r w:rsidR="00D644C7" w:rsidRPr="00193653">
        <w:rPr>
          <w:rFonts w:asciiTheme="minorHAnsi" w:hAnsiTheme="minorHAnsi" w:cstheme="minorHAnsi"/>
          <w:b w:val="0"/>
          <w:sz w:val="22"/>
          <w:szCs w:val="22"/>
        </w:rPr>
        <w:t xml:space="preserve"> </w:t>
      </w:r>
      <w:r w:rsidR="002C4E2C" w:rsidRPr="00193653">
        <w:rPr>
          <w:rFonts w:asciiTheme="minorHAnsi" w:hAnsiTheme="minorHAnsi" w:cstheme="minorHAnsi"/>
          <w:b w:val="0"/>
          <w:sz w:val="22"/>
          <w:szCs w:val="22"/>
        </w:rPr>
        <w:t>business leaders</w:t>
      </w:r>
      <w:r w:rsidR="00D644C7" w:rsidRPr="00193653">
        <w:rPr>
          <w:rFonts w:asciiTheme="minorHAnsi" w:hAnsiTheme="minorHAnsi" w:cstheme="minorHAnsi"/>
          <w:b w:val="0"/>
          <w:sz w:val="22"/>
          <w:szCs w:val="22"/>
        </w:rPr>
        <w:t>.</w:t>
      </w:r>
      <w:r w:rsidR="002C4E2C" w:rsidRPr="00193653">
        <w:rPr>
          <w:rFonts w:asciiTheme="minorHAnsi" w:hAnsiTheme="minorHAnsi" w:cstheme="minorHAnsi"/>
          <w:b w:val="0"/>
          <w:sz w:val="22"/>
          <w:szCs w:val="22"/>
        </w:rPr>
        <w:t xml:space="preserve"> </w:t>
      </w:r>
      <w:r w:rsidR="00032AD7" w:rsidRPr="00193653">
        <w:rPr>
          <w:rFonts w:asciiTheme="minorHAnsi" w:hAnsiTheme="minorHAnsi" w:cstheme="minorHAnsi"/>
          <w:b w:val="0"/>
          <w:sz w:val="22"/>
          <w:szCs w:val="22"/>
        </w:rPr>
        <w:t xml:space="preserve">In August 2019, the </w:t>
      </w:r>
      <w:r w:rsidR="002C4E2C" w:rsidRPr="00193653">
        <w:rPr>
          <w:rFonts w:asciiTheme="minorHAnsi" w:hAnsiTheme="minorHAnsi" w:cstheme="minorHAnsi"/>
          <w:b w:val="0"/>
          <w:sz w:val="22"/>
          <w:szCs w:val="22"/>
        </w:rPr>
        <w:t xml:space="preserve">6-day workshop </w:t>
      </w:r>
      <w:r w:rsidR="005A0257">
        <w:rPr>
          <w:rFonts w:asciiTheme="minorHAnsi" w:hAnsiTheme="minorHAnsi" w:cstheme="minorHAnsi"/>
          <w:b w:val="0"/>
          <w:sz w:val="22"/>
          <w:szCs w:val="22"/>
        </w:rPr>
        <w:t>was</w:t>
      </w:r>
      <w:r w:rsidRPr="00193653">
        <w:rPr>
          <w:rFonts w:asciiTheme="minorHAnsi" w:hAnsiTheme="minorHAnsi" w:cstheme="minorHAnsi"/>
          <w:b w:val="0"/>
          <w:sz w:val="22"/>
          <w:szCs w:val="22"/>
        </w:rPr>
        <w:t xml:space="preserve"> delivered </w:t>
      </w:r>
      <w:r w:rsidR="002C4E2C" w:rsidRPr="00193653">
        <w:rPr>
          <w:rFonts w:asciiTheme="minorHAnsi" w:hAnsiTheme="minorHAnsi" w:cstheme="minorHAnsi"/>
          <w:b w:val="0"/>
          <w:sz w:val="22"/>
          <w:szCs w:val="22"/>
        </w:rPr>
        <w:t xml:space="preserve">by UNCTAD-certified EMPRETEC trainers </w:t>
      </w:r>
      <w:r w:rsidRPr="00193653">
        <w:rPr>
          <w:rFonts w:asciiTheme="minorHAnsi" w:hAnsiTheme="minorHAnsi" w:cstheme="minorHAnsi"/>
          <w:b w:val="0"/>
          <w:sz w:val="22"/>
          <w:szCs w:val="22"/>
        </w:rPr>
        <w:t xml:space="preserve">based </w:t>
      </w:r>
      <w:r w:rsidR="002C4E2C" w:rsidRPr="00193653">
        <w:rPr>
          <w:rFonts w:asciiTheme="minorHAnsi" w:hAnsiTheme="minorHAnsi" w:cstheme="minorHAnsi"/>
          <w:b w:val="0"/>
          <w:sz w:val="22"/>
          <w:szCs w:val="22"/>
        </w:rPr>
        <w:t>on Harvard University methodology.</w:t>
      </w:r>
      <w:r w:rsidRPr="00193653">
        <w:rPr>
          <w:rFonts w:asciiTheme="minorHAnsi" w:hAnsiTheme="minorHAnsi" w:cstheme="minorHAnsi"/>
          <w:b w:val="0"/>
          <w:sz w:val="22"/>
          <w:szCs w:val="22"/>
        </w:rPr>
        <w:t xml:space="preserve"> The Ministry of Economy received more than 150 applications out of which </w:t>
      </w:r>
      <w:r w:rsidR="00032AD7" w:rsidRPr="00193653">
        <w:rPr>
          <w:rFonts w:asciiTheme="minorHAnsi" w:hAnsiTheme="minorHAnsi" w:cstheme="minorHAnsi"/>
          <w:b w:val="0"/>
          <w:sz w:val="22"/>
          <w:szCs w:val="22"/>
        </w:rPr>
        <w:t>35</w:t>
      </w:r>
      <w:r w:rsidRPr="00193653">
        <w:rPr>
          <w:rFonts w:asciiTheme="minorHAnsi" w:hAnsiTheme="minorHAnsi" w:cstheme="minorHAnsi"/>
          <w:b w:val="0"/>
          <w:sz w:val="22"/>
          <w:szCs w:val="22"/>
        </w:rPr>
        <w:t xml:space="preserve"> trainees </w:t>
      </w:r>
      <w:r w:rsidR="00032AD7" w:rsidRPr="00193653">
        <w:rPr>
          <w:rFonts w:asciiTheme="minorHAnsi" w:hAnsiTheme="minorHAnsi" w:cstheme="minorHAnsi"/>
          <w:b w:val="0"/>
          <w:sz w:val="22"/>
          <w:szCs w:val="22"/>
        </w:rPr>
        <w:t>were</w:t>
      </w:r>
      <w:r w:rsidRPr="00193653">
        <w:rPr>
          <w:rFonts w:asciiTheme="minorHAnsi" w:hAnsiTheme="minorHAnsi" w:cstheme="minorHAnsi"/>
          <w:b w:val="0"/>
          <w:sz w:val="22"/>
          <w:szCs w:val="22"/>
        </w:rPr>
        <w:t xml:space="preserve"> selected for the training</w:t>
      </w:r>
      <w:r w:rsidR="00032AD7" w:rsidRPr="00193653">
        <w:rPr>
          <w:rFonts w:asciiTheme="minorHAnsi" w:hAnsiTheme="minorHAnsi" w:cstheme="minorHAnsi"/>
          <w:b w:val="0"/>
          <w:sz w:val="22"/>
          <w:szCs w:val="22"/>
        </w:rPr>
        <w:t xml:space="preserve"> and 28 trainees (18 – male and 10 – female participants) graduated from the training. </w:t>
      </w:r>
      <w:r w:rsidR="0029198C">
        <w:rPr>
          <w:rFonts w:asciiTheme="minorHAnsi" w:hAnsiTheme="minorHAnsi" w:cstheme="minorHAnsi"/>
          <w:b w:val="0"/>
          <w:sz w:val="22"/>
          <w:szCs w:val="22"/>
          <w:lang w:val="en-US"/>
        </w:rPr>
        <w:t>The potential clients of RKDF were among the participants of the training.</w:t>
      </w:r>
    </w:p>
    <w:p w14:paraId="17656BC3" w14:textId="77777777" w:rsidR="00D35628" w:rsidRDefault="00D35628" w:rsidP="00D35628">
      <w:pPr>
        <w:rPr>
          <w:rFonts w:cstheme="minorHAnsi"/>
        </w:rPr>
      </w:pPr>
    </w:p>
    <w:p w14:paraId="28E3CCD1" w14:textId="03A6AD9C" w:rsidR="00D35628" w:rsidRPr="00D35628" w:rsidRDefault="00D35628" w:rsidP="00D35628">
      <w:pPr>
        <w:spacing w:line="240" w:lineRule="auto"/>
        <w:jc w:val="both"/>
        <w:rPr>
          <w:rFonts w:cstheme="minorHAnsi"/>
        </w:rPr>
      </w:pPr>
      <w:r>
        <w:rPr>
          <w:rFonts w:cstheme="minorHAnsi"/>
        </w:rPr>
        <w:t>The f</w:t>
      </w:r>
      <w:r w:rsidRPr="00F015CC">
        <w:rPr>
          <w:rFonts w:cstheme="minorHAnsi"/>
        </w:rPr>
        <w:t xml:space="preserve">ollowing </w:t>
      </w:r>
      <w:r w:rsidRPr="00295E98">
        <w:rPr>
          <w:rFonts w:cstheme="minorHAnsi"/>
          <w:b/>
        </w:rPr>
        <w:t>key</w:t>
      </w:r>
      <w:r>
        <w:rPr>
          <w:rFonts w:cstheme="minorHAnsi"/>
          <w:b/>
        </w:rPr>
        <w:t xml:space="preserve"> results</w:t>
      </w:r>
      <w:r>
        <w:rPr>
          <w:rFonts w:cstheme="minorHAnsi"/>
        </w:rPr>
        <w:t xml:space="preserve"> have been achieved during the reporting period within </w:t>
      </w:r>
      <w:r w:rsidRPr="002E4FEC">
        <w:rPr>
          <w:rFonts w:cstheme="minorHAnsi"/>
          <w:b/>
          <w:bCs/>
        </w:rPr>
        <w:t xml:space="preserve">the Activity </w:t>
      </w:r>
      <w:r>
        <w:rPr>
          <w:rFonts w:cstheme="minorHAnsi"/>
          <w:b/>
          <w:bCs/>
        </w:rPr>
        <w:t>2</w:t>
      </w:r>
      <w:r>
        <w:rPr>
          <w:rFonts w:cstheme="minorHAnsi"/>
        </w:rPr>
        <w:t>.</w:t>
      </w:r>
      <w:r w:rsidR="004771FE">
        <w:rPr>
          <w:rFonts w:cstheme="minorHAnsi"/>
        </w:rPr>
        <w:t xml:space="preserve"> </w:t>
      </w:r>
      <w:r w:rsidR="004771FE" w:rsidRPr="004771FE">
        <w:rPr>
          <w:rFonts w:eastAsia="Times New Roman" w:cstheme="minorHAnsi"/>
          <w:b/>
          <w:bCs/>
          <w:lang w:val="en-GB"/>
        </w:rPr>
        <w:t>Technical assistance in project preparation for potential financing from the International Financial Institutions to governmental and business entities in Armenia, Belarus, Kazakhstan, Kyrgyzstan, and Tajikistan, including clients of the Eurasian Development Bank</w:t>
      </w:r>
      <w:r w:rsidR="004771FE">
        <w:rPr>
          <w:rFonts w:eastAsia="Times New Roman" w:cstheme="minorHAnsi"/>
          <w:b/>
          <w:bCs/>
          <w:lang w:val="en-GB"/>
        </w:rPr>
        <w:t>.</w:t>
      </w:r>
    </w:p>
    <w:p w14:paraId="46353183" w14:textId="2C5EFE15" w:rsidR="00D80F4A" w:rsidRDefault="009F5304" w:rsidP="00F015CC">
      <w:pPr>
        <w:pStyle w:val="ListParagraph"/>
        <w:numPr>
          <w:ilvl w:val="0"/>
          <w:numId w:val="11"/>
        </w:numPr>
        <w:jc w:val="both"/>
        <w:rPr>
          <w:rFonts w:asciiTheme="minorHAnsi" w:hAnsiTheme="minorHAnsi" w:cstheme="minorHAnsi"/>
          <w:b w:val="0"/>
          <w:sz w:val="22"/>
          <w:szCs w:val="22"/>
        </w:rPr>
      </w:pPr>
      <w:r>
        <w:rPr>
          <w:rFonts w:asciiTheme="minorHAnsi" w:hAnsiTheme="minorHAnsi" w:cstheme="minorHAnsi"/>
          <w:b w:val="0"/>
          <w:sz w:val="22"/>
          <w:szCs w:val="22"/>
        </w:rPr>
        <w:t xml:space="preserve">Following thorough consultations on </w:t>
      </w:r>
      <w:proofErr w:type="spellStart"/>
      <w:r w:rsidR="001F58C2">
        <w:rPr>
          <w:rFonts w:asciiTheme="minorHAnsi" w:hAnsiTheme="minorHAnsi" w:cstheme="minorHAnsi"/>
          <w:b w:val="0"/>
          <w:sz w:val="22"/>
          <w:szCs w:val="22"/>
        </w:rPr>
        <w:t>ToR</w:t>
      </w:r>
      <w:proofErr w:type="spellEnd"/>
      <w:r>
        <w:rPr>
          <w:rFonts w:asciiTheme="minorHAnsi" w:hAnsiTheme="minorHAnsi" w:cstheme="minorHAnsi"/>
          <w:b w:val="0"/>
          <w:sz w:val="22"/>
          <w:szCs w:val="22"/>
        </w:rPr>
        <w:t xml:space="preserve"> with dedicated EDB focal point</w:t>
      </w:r>
      <w:r w:rsidR="004771FE">
        <w:rPr>
          <w:rFonts w:asciiTheme="minorHAnsi" w:hAnsiTheme="minorHAnsi" w:cstheme="minorHAnsi"/>
          <w:b w:val="0"/>
          <w:sz w:val="22"/>
          <w:szCs w:val="22"/>
        </w:rPr>
        <w:t>s</w:t>
      </w:r>
      <w:r>
        <w:rPr>
          <w:rFonts w:asciiTheme="minorHAnsi" w:hAnsiTheme="minorHAnsi" w:cstheme="minorHAnsi"/>
          <w:b w:val="0"/>
          <w:sz w:val="22"/>
          <w:szCs w:val="22"/>
        </w:rPr>
        <w:t xml:space="preserve">, UNDP conducted two open tenders </w:t>
      </w:r>
      <w:proofErr w:type="spellStart"/>
      <w:r>
        <w:rPr>
          <w:rFonts w:asciiTheme="minorHAnsi" w:hAnsiTheme="minorHAnsi" w:cstheme="minorHAnsi"/>
          <w:b w:val="0"/>
          <w:sz w:val="22"/>
          <w:szCs w:val="22"/>
        </w:rPr>
        <w:t>i</w:t>
      </w:r>
      <w:proofErr w:type="spellEnd"/>
      <w:r>
        <w:rPr>
          <w:rFonts w:asciiTheme="minorHAnsi" w:hAnsiTheme="minorHAnsi" w:cstheme="minorHAnsi"/>
          <w:b w:val="0"/>
          <w:sz w:val="22"/>
          <w:szCs w:val="22"/>
        </w:rPr>
        <w:t xml:space="preserve">) IC for preparation of the joint </w:t>
      </w:r>
      <w:r w:rsidR="00295E98" w:rsidRPr="00295E98">
        <w:rPr>
          <w:rFonts w:asciiTheme="minorHAnsi" w:hAnsiTheme="minorHAnsi" w:cstheme="minorHAnsi"/>
          <w:b w:val="0"/>
          <w:sz w:val="22"/>
          <w:szCs w:val="22"/>
        </w:rPr>
        <w:t>co-financing mechanism</w:t>
      </w:r>
      <w:r w:rsidR="00295E98" w:rsidRPr="00F015CC">
        <w:rPr>
          <w:rFonts w:asciiTheme="minorHAnsi" w:hAnsiTheme="minorHAnsi" w:cstheme="minorHAnsi"/>
          <w:sz w:val="22"/>
          <w:szCs w:val="22"/>
        </w:rPr>
        <w:t xml:space="preserve"> </w:t>
      </w:r>
      <w:r>
        <w:rPr>
          <w:rFonts w:asciiTheme="minorHAnsi" w:hAnsiTheme="minorHAnsi" w:cstheme="minorHAnsi"/>
          <w:b w:val="0"/>
          <w:sz w:val="22"/>
          <w:szCs w:val="22"/>
        </w:rPr>
        <w:t>for UNDP-EDB collaboration, and ii) RFP for capacity assessment of participating banks and preparation of recommendations for new lending projects.</w:t>
      </w:r>
      <w:r w:rsidR="00295E98">
        <w:rPr>
          <w:rFonts w:asciiTheme="minorHAnsi" w:hAnsiTheme="minorHAnsi" w:cstheme="minorHAnsi"/>
          <w:b w:val="0"/>
          <w:sz w:val="22"/>
          <w:szCs w:val="22"/>
        </w:rPr>
        <w:t xml:space="preserve"> </w:t>
      </w:r>
    </w:p>
    <w:p w14:paraId="01B9424A" w14:textId="77777777" w:rsidR="00D80F4A" w:rsidRPr="00D80F4A" w:rsidRDefault="00D80F4A" w:rsidP="00D80F4A">
      <w:pPr>
        <w:pStyle w:val="ListParagraph"/>
        <w:rPr>
          <w:rFonts w:asciiTheme="minorHAnsi" w:hAnsiTheme="minorHAnsi" w:cstheme="minorHAnsi"/>
          <w:b w:val="0"/>
          <w:sz w:val="22"/>
          <w:szCs w:val="22"/>
        </w:rPr>
      </w:pPr>
    </w:p>
    <w:p w14:paraId="5B290D3A" w14:textId="54D577A9" w:rsidR="006213AD" w:rsidRDefault="00D80F4A" w:rsidP="006213AD">
      <w:pPr>
        <w:pStyle w:val="ListParagraph"/>
        <w:ind w:left="862"/>
        <w:jc w:val="both"/>
        <w:rPr>
          <w:rFonts w:asciiTheme="minorHAnsi" w:eastAsiaTheme="minorHAnsi" w:hAnsiTheme="minorHAnsi" w:cstheme="minorHAnsi"/>
          <w:b w:val="0"/>
          <w:sz w:val="22"/>
          <w:szCs w:val="22"/>
          <w:lang w:val="en-US"/>
        </w:rPr>
      </w:pPr>
      <w:r>
        <w:rPr>
          <w:rFonts w:asciiTheme="minorHAnsi" w:hAnsiTheme="minorHAnsi" w:cstheme="minorHAnsi"/>
          <w:b w:val="0"/>
          <w:sz w:val="22"/>
          <w:szCs w:val="22"/>
        </w:rPr>
        <w:t xml:space="preserve">The interview with candidates for joint UNDP-EDB </w:t>
      </w:r>
      <w:r w:rsidRPr="00295E98">
        <w:rPr>
          <w:rFonts w:asciiTheme="minorHAnsi" w:hAnsiTheme="minorHAnsi" w:cstheme="minorHAnsi"/>
          <w:b w:val="0"/>
          <w:sz w:val="22"/>
          <w:szCs w:val="22"/>
        </w:rPr>
        <w:t>co-financing mechanism</w:t>
      </w:r>
      <w:r w:rsidRPr="00F015CC">
        <w:rPr>
          <w:rFonts w:asciiTheme="minorHAnsi" w:hAnsiTheme="minorHAnsi" w:cstheme="minorHAnsi"/>
          <w:sz w:val="22"/>
          <w:szCs w:val="22"/>
        </w:rPr>
        <w:t xml:space="preserve"> </w:t>
      </w:r>
      <w:r>
        <w:rPr>
          <w:rFonts w:asciiTheme="minorHAnsi" w:hAnsiTheme="minorHAnsi" w:cstheme="minorHAnsi"/>
          <w:b w:val="0"/>
          <w:sz w:val="22"/>
          <w:szCs w:val="22"/>
        </w:rPr>
        <w:t>has been successful and the panel (</w:t>
      </w:r>
      <w:r w:rsidR="004771FE">
        <w:rPr>
          <w:rFonts w:asciiTheme="minorHAnsi" w:hAnsiTheme="minorHAnsi" w:cstheme="minorHAnsi"/>
          <w:b w:val="0"/>
          <w:sz w:val="22"/>
          <w:szCs w:val="22"/>
        </w:rPr>
        <w:t>the</w:t>
      </w:r>
      <w:r>
        <w:rPr>
          <w:rFonts w:asciiTheme="minorHAnsi" w:hAnsiTheme="minorHAnsi" w:cstheme="minorHAnsi"/>
          <w:b w:val="0"/>
          <w:sz w:val="22"/>
          <w:szCs w:val="22"/>
        </w:rPr>
        <w:t xml:space="preserve"> EDB representative</w:t>
      </w:r>
      <w:r w:rsidR="004771FE">
        <w:rPr>
          <w:rFonts w:asciiTheme="minorHAnsi" w:hAnsiTheme="minorHAnsi" w:cstheme="minorHAnsi"/>
          <w:b w:val="0"/>
          <w:sz w:val="22"/>
          <w:szCs w:val="22"/>
        </w:rPr>
        <w:t>s participated as</w:t>
      </w:r>
      <w:r>
        <w:rPr>
          <w:rFonts w:asciiTheme="minorHAnsi" w:hAnsiTheme="minorHAnsi" w:cstheme="minorHAnsi"/>
          <w:b w:val="0"/>
          <w:sz w:val="22"/>
          <w:szCs w:val="22"/>
        </w:rPr>
        <w:t xml:space="preserve"> observer</w:t>
      </w:r>
      <w:r w:rsidR="004771FE">
        <w:rPr>
          <w:rFonts w:asciiTheme="minorHAnsi" w:hAnsiTheme="minorHAnsi" w:cstheme="minorHAnsi"/>
          <w:b w:val="0"/>
          <w:sz w:val="22"/>
          <w:szCs w:val="22"/>
        </w:rPr>
        <w:t>s</w:t>
      </w:r>
      <w:r>
        <w:rPr>
          <w:rFonts w:asciiTheme="minorHAnsi" w:hAnsiTheme="minorHAnsi" w:cstheme="minorHAnsi"/>
          <w:b w:val="0"/>
          <w:sz w:val="22"/>
          <w:szCs w:val="22"/>
        </w:rPr>
        <w:t xml:space="preserve">) resulted in a selection of </w:t>
      </w:r>
      <w:r w:rsidR="00657043">
        <w:rPr>
          <w:rFonts w:asciiTheme="minorHAnsi" w:hAnsiTheme="minorHAnsi" w:cstheme="minorHAnsi"/>
          <w:b w:val="0"/>
          <w:sz w:val="22"/>
          <w:szCs w:val="22"/>
        </w:rPr>
        <w:t xml:space="preserve">a </w:t>
      </w:r>
      <w:r>
        <w:rPr>
          <w:rFonts w:asciiTheme="minorHAnsi" w:hAnsiTheme="minorHAnsi" w:cstheme="minorHAnsi"/>
          <w:b w:val="0"/>
          <w:sz w:val="22"/>
          <w:szCs w:val="22"/>
        </w:rPr>
        <w:t xml:space="preserve">highly professional candidate from </w:t>
      </w:r>
      <w:r w:rsidR="001F58C2">
        <w:rPr>
          <w:rFonts w:asciiTheme="minorHAnsi" w:hAnsiTheme="minorHAnsi" w:cstheme="minorHAnsi"/>
          <w:b w:val="0"/>
          <w:sz w:val="22"/>
          <w:szCs w:val="22"/>
        </w:rPr>
        <w:t xml:space="preserve">the </w:t>
      </w:r>
      <w:r>
        <w:rPr>
          <w:rFonts w:asciiTheme="minorHAnsi" w:hAnsiTheme="minorHAnsi" w:cstheme="minorHAnsi"/>
          <w:b w:val="0"/>
          <w:sz w:val="22"/>
          <w:szCs w:val="22"/>
        </w:rPr>
        <w:t>Russian Federation.</w:t>
      </w:r>
      <w:r w:rsidR="00E96C63">
        <w:rPr>
          <w:rFonts w:asciiTheme="minorHAnsi" w:hAnsiTheme="minorHAnsi" w:cstheme="minorHAnsi"/>
          <w:b w:val="0"/>
          <w:sz w:val="22"/>
          <w:szCs w:val="22"/>
        </w:rPr>
        <w:t xml:space="preserve"> The consultant </w:t>
      </w:r>
      <w:r w:rsidR="009C5D9B">
        <w:rPr>
          <w:rFonts w:asciiTheme="minorHAnsi" w:hAnsiTheme="minorHAnsi" w:cstheme="minorHAnsi"/>
          <w:b w:val="0"/>
          <w:sz w:val="22"/>
          <w:szCs w:val="22"/>
        </w:rPr>
        <w:t>provided</w:t>
      </w:r>
      <w:r w:rsidR="00E96C63">
        <w:rPr>
          <w:rFonts w:asciiTheme="minorHAnsi" w:hAnsiTheme="minorHAnsi" w:cstheme="minorHAnsi"/>
          <w:b w:val="0"/>
          <w:sz w:val="22"/>
          <w:szCs w:val="22"/>
        </w:rPr>
        <w:t xml:space="preserve"> </w:t>
      </w:r>
      <w:proofErr w:type="spellStart"/>
      <w:r w:rsidR="005D42F5">
        <w:rPr>
          <w:rFonts w:asciiTheme="minorHAnsi" w:hAnsiTheme="minorHAnsi" w:cstheme="minorHAnsi"/>
          <w:b w:val="0"/>
          <w:sz w:val="22"/>
          <w:szCs w:val="22"/>
        </w:rPr>
        <w:t>i</w:t>
      </w:r>
      <w:proofErr w:type="spellEnd"/>
      <w:r w:rsidR="005D42F5">
        <w:rPr>
          <w:rFonts w:asciiTheme="minorHAnsi" w:hAnsiTheme="minorHAnsi" w:cstheme="minorHAnsi"/>
          <w:b w:val="0"/>
          <w:sz w:val="22"/>
          <w:szCs w:val="22"/>
        </w:rPr>
        <w:t xml:space="preserve">) </w:t>
      </w:r>
      <w:r w:rsidR="005D42F5">
        <w:rPr>
          <w:rFonts w:asciiTheme="minorHAnsi" w:hAnsiTheme="minorHAnsi" w:cstheme="minorHAnsi"/>
          <w:b w:val="0"/>
          <w:sz w:val="22"/>
          <w:szCs w:val="22"/>
          <w:lang w:val="en-US"/>
        </w:rPr>
        <w:t>a</w:t>
      </w:r>
      <w:r w:rsidR="00E96C63">
        <w:rPr>
          <w:rFonts w:asciiTheme="minorHAnsi" w:hAnsiTheme="minorHAnsi" w:cstheme="minorHAnsi"/>
          <w:b w:val="0"/>
          <w:sz w:val="22"/>
          <w:szCs w:val="22"/>
          <w:lang w:val="en-US"/>
        </w:rPr>
        <w:t xml:space="preserve"> document with</w:t>
      </w:r>
      <w:r w:rsidR="005D42F5" w:rsidRPr="005D42F5">
        <w:rPr>
          <w:rFonts w:asciiTheme="minorHAnsi" w:hAnsiTheme="minorHAnsi" w:cstheme="minorHAnsi"/>
          <w:b w:val="0"/>
          <w:sz w:val="22"/>
          <w:szCs w:val="22"/>
          <w:lang w:val="en-US"/>
        </w:rPr>
        <w:t xml:space="preserve"> </w:t>
      </w:r>
      <w:r w:rsidR="00E96C63">
        <w:rPr>
          <w:rFonts w:asciiTheme="minorHAnsi" w:hAnsiTheme="minorHAnsi" w:cstheme="minorHAnsi"/>
          <w:b w:val="0"/>
          <w:sz w:val="22"/>
          <w:szCs w:val="22"/>
          <w:lang w:val="en-US"/>
        </w:rPr>
        <w:t xml:space="preserve">recommendations </w:t>
      </w:r>
      <w:r w:rsidR="00E96C63" w:rsidRPr="00E96C63">
        <w:rPr>
          <w:rFonts w:asciiTheme="minorHAnsi" w:hAnsiTheme="minorHAnsi" w:cstheme="minorHAnsi"/>
          <w:b w:val="0"/>
          <w:sz w:val="22"/>
          <w:szCs w:val="22"/>
          <w:lang w:val="en-US"/>
        </w:rPr>
        <w:t>and the organizational structure of the optimal mechanism for co-financing the preparation of feasibility studies for projects between the EDB and UNDP, as well as the EDB with other international financial institutions and organizations</w:t>
      </w:r>
      <w:r w:rsidR="005D42F5">
        <w:rPr>
          <w:rFonts w:asciiTheme="minorHAnsi" w:hAnsiTheme="minorHAnsi" w:cstheme="minorHAnsi"/>
          <w:b w:val="0"/>
          <w:sz w:val="22"/>
          <w:szCs w:val="22"/>
          <w:lang w:val="en-US"/>
        </w:rPr>
        <w:t>; ii) a</w:t>
      </w:r>
      <w:r w:rsidR="00E96C63" w:rsidRPr="005D42F5">
        <w:rPr>
          <w:rFonts w:asciiTheme="minorHAnsi" w:hAnsiTheme="minorHAnsi" w:cstheme="minorHAnsi"/>
          <w:b w:val="0"/>
          <w:sz w:val="22"/>
          <w:szCs w:val="22"/>
          <w:lang w:val="en-US"/>
        </w:rPr>
        <w:t xml:space="preserve"> document with recommendations and organizational structure of the optimal mechanism for co-financing investment projects between the EDB and international financial institutions and organizations</w:t>
      </w:r>
      <w:r w:rsidR="005D42F5">
        <w:rPr>
          <w:rFonts w:asciiTheme="minorHAnsi" w:hAnsiTheme="minorHAnsi" w:cstheme="minorHAnsi"/>
          <w:b w:val="0"/>
          <w:sz w:val="22"/>
          <w:szCs w:val="22"/>
          <w:lang w:val="en-US"/>
        </w:rPr>
        <w:t>; iii) a</w:t>
      </w:r>
      <w:r w:rsidR="00E96C63" w:rsidRPr="005D42F5">
        <w:rPr>
          <w:rFonts w:asciiTheme="minorHAnsi" w:hAnsiTheme="minorHAnsi" w:cstheme="minorHAnsi"/>
          <w:b w:val="0"/>
          <w:sz w:val="22"/>
          <w:szCs w:val="22"/>
          <w:lang w:val="en-US"/>
        </w:rPr>
        <w:t xml:space="preserve"> document with recommendations and an organizational structure describing the procedure for obtaining EDB accreditation in the Green Climate Fund.</w:t>
      </w:r>
      <w:r w:rsidR="006213AD">
        <w:rPr>
          <w:rFonts w:asciiTheme="minorHAnsi" w:hAnsiTheme="minorHAnsi" w:cstheme="minorHAnsi"/>
          <w:b w:val="0"/>
          <w:sz w:val="22"/>
          <w:szCs w:val="22"/>
          <w:lang w:val="en-US"/>
        </w:rPr>
        <w:t xml:space="preserve"> </w:t>
      </w:r>
      <w:r w:rsidR="006213AD" w:rsidRPr="006213AD">
        <w:rPr>
          <w:rFonts w:asciiTheme="minorHAnsi" w:eastAsiaTheme="minorHAnsi" w:hAnsiTheme="minorHAnsi" w:cstheme="minorHAnsi"/>
          <w:b w:val="0"/>
          <w:sz w:val="22"/>
          <w:szCs w:val="22"/>
          <w:lang w:val="en-US"/>
        </w:rPr>
        <w:t>A brief description of the recommendations for each document is given below:</w:t>
      </w:r>
    </w:p>
    <w:p w14:paraId="3CBFCBDF" w14:textId="77777777" w:rsidR="006213AD" w:rsidRDefault="006213AD" w:rsidP="006213AD">
      <w:pPr>
        <w:pStyle w:val="ListParagraph"/>
        <w:ind w:left="862"/>
        <w:jc w:val="both"/>
        <w:rPr>
          <w:rFonts w:asciiTheme="minorHAnsi" w:eastAsiaTheme="minorHAnsi" w:hAnsiTheme="minorHAnsi" w:cstheme="minorHAnsi"/>
          <w:b w:val="0"/>
          <w:sz w:val="22"/>
          <w:szCs w:val="22"/>
          <w:lang w:val="en-US"/>
        </w:rPr>
      </w:pPr>
    </w:p>
    <w:p w14:paraId="3C587AB6" w14:textId="0EC2C7ED" w:rsidR="006213AD" w:rsidRPr="00E606E5" w:rsidRDefault="006213AD" w:rsidP="006213AD">
      <w:pPr>
        <w:pStyle w:val="BulletGCF"/>
        <w:numPr>
          <w:ilvl w:val="0"/>
          <w:numId w:val="16"/>
        </w:numPr>
        <w:ind w:left="1440" w:hanging="360"/>
        <w:rPr>
          <w:rFonts w:asciiTheme="minorHAnsi" w:hAnsiTheme="minorHAnsi" w:cstheme="minorHAnsi"/>
          <w:sz w:val="22"/>
          <w:szCs w:val="22"/>
          <w:lang w:val="en-US"/>
        </w:rPr>
      </w:pPr>
      <w:r w:rsidRPr="00E606E5">
        <w:rPr>
          <w:rFonts w:asciiTheme="minorHAnsi" w:hAnsiTheme="minorHAnsi" w:cstheme="minorHAnsi"/>
          <w:sz w:val="22"/>
          <w:szCs w:val="22"/>
          <w:lang w:val="en-US"/>
        </w:rPr>
        <w:t xml:space="preserve">Regarding the cooperation of the EDB with international financial institutions and organizations on co-financing the preparation of feasibility studies, the consultant formulated a procedure for choosing a co-financing mechanism that can be applied, considering the importance of optimal organization of the following aspects: </w:t>
      </w:r>
    </w:p>
    <w:p w14:paraId="3E2EA24A" w14:textId="4CC94584" w:rsidR="006213AD" w:rsidRPr="006213AD" w:rsidRDefault="006213AD" w:rsidP="006213AD">
      <w:pPr>
        <w:pStyle w:val="BulletGCF"/>
        <w:numPr>
          <w:ilvl w:val="0"/>
          <w:numId w:val="20"/>
        </w:numPr>
        <w:rPr>
          <w:rFonts w:asciiTheme="minorHAnsi" w:hAnsiTheme="minorHAnsi" w:cstheme="minorHAnsi"/>
          <w:sz w:val="22"/>
          <w:szCs w:val="22"/>
          <w:lang w:val="en-US"/>
        </w:rPr>
      </w:pPr>
      <w:r w:rsidRPr="006213AD">
        <w:rPr>
          <w:rFonts w:asciiTheme="minorHAnsi" w:hAnsiTheme="minorHAnsi" w:cstheme="minorHAnsi"/>
          <w:sz w:val="22"/>
          <w:szCs w:val="22"/>
          <w:lang w:val="en-US"/>
        </w:rPr>
        <w:t>Structuring the funds and expenses for the implementation of the project</w:t>
      </w:r>
      <w:r w:rsidR="00164D06">
        <w:rPr>
          <w:rFonts w:asciiTheme="minorHAnsi" w:hAnsiTheme="minorHAnsi" w:cstheme="minorHAnsi"/>
          <w:sz w:val="22"/>
          <w:szCs w:val="22"/>
          <w:lang w:val="en-US"/>
        </w:rPr>
        <w:t xml:space="preserve">, </w:t>
      </w:r>
      <w:r w:rsidRPr="006213AD">
        <w:rPr>
          <w:rFonts w:asciiTheme="minorHAnsi" w:hAnsiTheme="minorHAnsi" w:cstheme="minorHAnsi"/>
          <w:sz w:val="22"/>
          <w:szCs w:val="22"/>
          <w:lang w:val="en-US"/>
        </w:rPr>
        <w:t xml:space="preserve">in which the co-financing parties determine whether financing will be parallel or joint; </w:t>
      </w:r>
    </w:p>
    <w:p w14:paraId="66996D58" w14:textId="3700DCCC" w:rsidR="006213AD" w:rsidRPr="006213AD" w:rsidRDefault="006213AD" w:rsidP="006213AD">
      <w:pPr>
        <w:pStyle w:val="BulletGCF"/>
        <w:numPr>
          <w:ilvl w:val="0"/>
          <w:numId w:val="20"/>
        </w:numPr>
        <w:rPr>
          <w:rFonts w:asciiTheme="minorHAnsi" w:hAnsiTheme="minorHAnsi" w:cstheme="minorHAnsi"/>
          <w:sz w:val="22"/>
          <w:szCs w:val="22"/>
          <w:lang w:val="en-US"/>
        </w:rPr>
      </w:pPr>
      <w:r w:rsidRPr="006213AD">
        <w:rPr>
          <w:rFonts w:asciiTheme="minorHAnsi" w:hAnsiTheme="minorHAnsi" w:cstheme="minorHAnsi"/>
          <w:sz w:val="22"/>
          <w:szCs w:val="22"/>
          <w:lang w:val="en-US"/>
        </w:rPr>
        <w:t xml:space="preserve">Distribution of authority to manage funds between </w:t>
      </w:r>
      <w:r w:rsidR="00826BC2">
        <w:rPr>
          <w:rFonts w:asciiTheme="minorHAnsi" w:hAnsiTheme="minorHAnsi" w:cstheme="minorHAnsi"/>
          <w:sz w:val="22"/>
          <w:szCs w:val="22"/>
          <w:lang w:val="en-US"/>
        </w:rPr>
        <w:t xml:space="preserve">co-financing </w:t>
      </w:r>
      <w:r w:rsidRPr="006213AD">
        <w:rPr>
          <w:rFonts w:asciiTheme="minorHAnsi" w:hAnsiTheme="minorHAnsi" w:cstheme="minorHAnsi"/>
          <w:sz w:val="22"/>
          <w:szCs w:val="22"/>
          <w:lang w:val="en-US"/>
        </w:rPr>
        <w:t>organizations, based on the availability of resources and competencies for procurement and implementation of activities to monitor the implementation of work</w:t>
      </w:r>
      <w:r w:rsidR="00164D06">
        <w:rPr>
          <w:rFonts w:asciiTheme="minorHAnsi" w:hAnsiTheme="minorHAnsi" w:cstheme="minorHAnsi"/>
          <w:sz w:val="22"/>
          <w:szCs w:val="22"/>
          <w:lang w:val="en-US"/>
        </w:rPr>
        <w:t>s</w:t>
      </w:r>
      <w:r w:rsidRPr="006213AD">
        <w:rPr>
          <w:rFonts w:asciiTheme="minorHAnsi" w:hAnsiTheme="minorHAnsi" w:cstheme="minorHAnsi"/>
          <w:sz w:val="22"/>
          <w:szCs w:val="22"/>
          <w:lang w:val="en-US"/>
        </w:rPr>
        <w:t xml:space="preserve"> under contracts. </w:t>
      </w:r>
    </w:p>
    <w:p w14:paraId="30A33947" w14:textId="2C31586B" w:rsidR="006213AD" w:rsidRDefault="006213AD" w:rsidP="006213AD">
      <w:pPr>
        <w:pStyle w:val="BulletGCF"/>
        <w:numPr>
          <w:ilvl w:val="0"/>
          <w:numId w:val="0"/>
        </w:numPr>
        <w:ind w:left="1440"/>
        <w:rPr>
          <w:rFonts w:asciiTheme="minorHAnsi" w:hAnsiTheme="minorHAnsi" w:cstheme="minorHAnsi"/>
          <w:sz w:val="22"/>
          <w:szCs w:val="22"/>
          <w:lang w:val="en-US"/>
        </w:rPr>
      </w:pPr>
      <w:r w:rsidRPr="006213AD">
        <w:rPr>
          <w:rFonts w:asciiTheme="minorHAnsi" w:hAnsiTheme="minorHAnsi" w:cstheme="minorHAnsi"/>
          <w:sz w:val="22"/>
          <w:szCs w:val="22"/>
          <w:lang w:val="en-US"/>
        </w:rPr>
        <w:t>To organize the optimal mechanism for co-financing the preparation of feasibility studies for projects between</w:t>
      </w:r>
      <w:r>
        <w:rPr>
          <w:rFonts w:asciiTheme="minorHAnsi" w:hAnsiTheme="minorHAnsi" w:cstheme="minorHAnsi"/>
          <w:sz w:val="22"/>
          <w:szCs w:val="22"/>
          <w:lang w:val="en-US"/>
        </w:rPr>
        <w:t xml:space="preserve"> the</w:t>
      </w:r>
      <w:r w:rsidRPr="006213AD">
        <w:rPr>
          <w:rFonts w:asciiTheme="minorHAnsi" w:hAnsiTheme="minorHAnsi" w:cstheme="minorHAnsi"/>
          <w:sz w:val="22"/>
          <w:szCs w:val="22"/>
          <w:lang w:val="en-US"/>
        </w:rPr>
        <w:t xml:space="preserve"> EDB and UNDP, the consultant analyzed the existing UNDP practices </w:t>
      </w:r>
      <w:r>
        <w:rPr>
          <w:rFonts w:asciiTheme="minorHAnsi" w:hAnsiTheme="minorHAnsi" w:cstheme="minorHAnsi"/>
          <w:sz w:val="22"/>
          <w:szCs w:val="22"/>
          <w:lang w:val="en-US"/>
        </w:rPr>
        <w:t>of</w:t>
      </w:r>
      <w:r w:rsidRPr="006213AD">
        <w:rPr>
          <w:rFonts w:asciiTheme="minorHAnsi" w:hAnsiTheme="minorHAnsi" w:cstheme="minorHAnsi"/>
          <w:sz w:val="22"/>
          <w:szCs w:val="22"/>
          <w:lang w:val="en-US"/>
        </w:rPr>
        <w:t xml:space="preserve"> cooperation with international financial institutions, and </w:t>
      </w:r>
      <w:r>
        <w:rPr>
          <w:rFonts w:asciiTheme="minorHAnsi" w:hAnsiTheme="minorHAnsi" w:cstheme="minorHAnsi"/>
          <w:sz w:val="22"/>
          <w:szCs w:val="22"/>
          <w:lang w:val="en-US"/>
        </w:rPr>
        <w:t>the</w:t>
      </w:r>
      <w:r w:rsidRPr="006213AD">
        <w:rPr>
          <w:rFonts w:asciiTheme="minorHAnsi" w:hAnsiTheme="minorHAnsi" w:cstheme="minorHAnsi"/>
          <w:sz w:val="22"/>
          <w:szCs w:val="22"/>
          <w:lang w:val="en-US"/>
        </w:rPr>
        <w:t xml:space="preserve"> consultant</w:t>
      </w:r>
      <w:r>
        <w:rPr>
          <w:rFonts w:asciiTheme="minorHAnsi" w:hAnsiTheme="minorHAnsi" w:cstheme="minorHAnsi"/>
          <w:sz w:val="22"/>
          <w:szCs w:val="22"/>
          <w:lang w:val="en-US"/>
        </w:rPr>
        <w:t xml:space="preserve"> recommends</w:t>
      </w:r>
      <w:r w:rsidRPr="006213AD">
        <w:rPr>
          <w:rFonts w:asciiTheme="minorHAnsi" w:hAnsiTheme="minorHAnsi" w:cstheme="minorHAnsi"/>
          <w:sz w:val="22"/>
          <w:szCs w:val="22"/>
          <w:lang w:val="en-US"/>
        </w:rPr>
        <w:t xml:space="preserve">  that </w:t>
      </w:r>
      <w:r>
        <w:rPr>
          <w:rFonts w:asciiTheme="minorHAnsi" w:hAnsiTheme="minorHAnsi" w:cstheme="minorHAnsi"/>
          <w:sz w:val="22"/>
          <w:szCs w:val="22"/>
          <w:lang w:val="en-US"/>
        </w:rPr>
        <w:t xml:space="preserve">the </w:t>
      </w:r>
      <w:r w:rsidRPr="006213AD">
        <w:rPr>
          <w:rFonts w:asciiTheme="minorHAnsi" w:hAnsiTheme="minorHAnsi" w:cstheme="minorHAnsi"/>
          <w:sz w:val="22"/>
          <w:szCs w:val="22"/>
          <w:lang w:val="en-US"/>
        </w:rPr>
        <w:t>co-financing</w:t>
      </w:r>
      <w:r>
        <w:rPr>
          <w:rFonts w:asciiTheme="minorHAnsi" w:hAnsiTheme="minorHAnsi" w:cstheme="minorHAnsi"/>
          <w:sz w:val="22"/>
          <w:szCs w:val="22"/>
          <w:lang w:val="en-US"/>
        </w:rPr>
        <w:t xml:space="preserve"> </w:t>
      </w:r>
      <w:r w:rsidRPr="006213AD">
        <w:rPr>
          <w:rFonts w:asciiTheme="minorHAnsi" w:hAnsiTheme="minorHAnsi" w:cstheme="minorHAnsi"/>
          <w:sz w:val="22"/>
          <w:szCs w:val="22"/>
          <w:lang w:val="en-US"/>
        </w:rPr>
        <w:t>can be structured on the basis of the cooperation schemes</w:t>
      </w:r>
      <w:r>
        <w:rPr>
          <w:rFonts w:asciiTheme="minorHAnsi" w:hAnsiTheme="minorHAnsi" w:cstheme="minorHAnsi"/>
          <w:sz w:val="22"/>
          <w:szCs w:val="22"/>
          <w:lang w:val="en-US"/>
        </w:rPr>
        <w:t xml:space="preserve"> of</w:t>
      </w:r>
      <w:r w:rsidRPr="006213AD">
        <w:rPr>
          <w:rFonts w:asciiTheme="minorHAnsi" w:hAnsiTheme="minorHAnsi" w:cstheme="minorHAnsi"/>
          <w:sz w:val="22"/>
          <w:szCs w:val="22"/>
          <w:lang w:val="en-US"/>
        </w:rPr>
        <w:t xml:space="preserve"> UNDP with international financial institutions and organizations in the field of co-financing of projects and programs, taking into account the organizational features of projects</w:t>
      </w:r>
      <w:r>
        <w:rPr>
          <w:rFonts w:asciiTheme="minorHAnsi" w:hAnsiTheme="minorHAnsi" w:cstheme="minorHAnsi"/>
          <w:sz w:val="22"/>
          <w:szCs w:val="22"/>
          <w:lang w:val="en-US"/>
        </w:rPr>
        <w:t>.</w:t>
      </w:r>
    </w:p>
    <w:p w14:paraId="49192D9F" w14:textId="75B37BEB" w:rsidR="00A61A91" w:rsidRPr="00DA3110" w:rsidRDefault="006213AD" w:rsidP="00DA3110">
      <w:pPr>
        <w:pStyle w:val="BulletGCF"/>
        <w:numPr>
          <w:ilvl w:val="0"/>
          <w:numId w:val="16"/>
        </w:numPr>
        <w:ind w:left="1440" w:hanging="360"/>
        <w:rPr>
          <w:rFonts w:asciiTheme="minorHAnsi" w:hAnsiTheme="minorHAnsi" w:cstheme="minorHAnsi"/>
          <w:sz w:val="22"/>
          <w:szCs w:val="22"/>
          <w:lang w:val="en-US"/>
        </w:rPr>
      </w:pPr>
      <w:r w:rsidRPr="00DA3110">
        <w:rPr>
          <w:rFonts w:asciiTheme="minorHAnsi" w:hAnsiTheme="minorHAnsi" w:cstheme="minorHAnsi"/>
          <w:sz w:val="22"/>
          <w:szCs w:val="22"/>
          <w:lang w:val="en-US"/>
        </w:rPr>
        <w:t>The consultant recommend</w:t>
      </w:r>
      <w:r w:rsidR="00DA3110">
        <w:rPr>
          <w:rFonts w:asciiTheme="minorHAnsi" w:hAnsiTheme="minorHAnsi" w:cstheme="minorHAnsi"/>
          <w:sz w:val="22"/>
          <w:szCs w:val="22"/>
          <w:lang w:val="en-US"/>
        </w:rPr>
        <w:t>s</w:t>
      </w:r>
      <w:r w:rsidR="00A61A91" w:rsidRPr="00DA3110">
        <w:rPr>
          <w:rFonts w:asciiTheme="minorHAnsi" w:hAnsiTheme="minorHAnsi" w:cstheme="minorHAnsi"/>
          <w:sz w:val="22"/>
          <w:szCs w:val="22"/>
          <w:lang w:val="en-US"/>
        </w:rPr>
        <w:t xml:space="preserve"> </w:t>
      </w:r>
      <w:r w:rsidR="00A77026">
        <w:rPr>
          <w:rFonts w:asciiTheme="minorHAnsi" w:hAnsiTheme="minorHAnsi" w:cstheme="minorHAnsi"/>
          <w:sz w:val="22"/>
          <w:szCs w:val="22"/>
          <w:lang w:val="en-US"/>
        </w:rPr>
        <w:t>considering</w:t>
      </w:r>
      <w:r w:rsidRPr="00DA3110">
        <w:rPr>
          <w:rFonts w:asciiTheme="minorHAnsi" w:hAnsiTheme="minorHAnsi" w:cstheme="minorHAnsi"/>
          <w:sz w:val="22"/>
          <w:szCs w:val="22"/>
          <w:lang w:val="en-US"/>
        </w:rPr>
        <w:t xml:space="preserve"> the following parameters</w:t>
      </w:r>
      <w:r w:rsidR="00A77026">
        <w:rPr>
          <w:rFonts w:asciiTheme="minorHAnsi" w:hAnsiTheme="minorHAnsi" w:cstheme="minorHAnsi"/>
          <w:sz w:val="22"/>
          <w:szCs w:val="22"/>
          <w:lang w:val="en-US"/>
        </w:rPr>
        <w:t>,</w:t>
      </w:r>
      <w:r w:rsidRPr="00DA3110">
        <w:rPr>
          <w:rFonts w:asciiTheme="minorHAnsi" w:hAnsiTheme="minorHAnsi" w:cstheme="minorHAnsi"/>
          <w:sz w:val="22"/>
          <w:szCs w:val="22"/>
          <w:lang w:val="en-US"/>
        </w:rPr>
        <w:t xml:space="preserve"> determining the choice of the optimal financing mechanism and structuring the cooperation of international financial institutions and organizations with joint participation in implementation of investment projects: </w:t>
      </w:r>
    </w:p>
    <w:p w14:paraId="1DDE45E9" w14:textId="75FCE0CE" w:rsidR="00A61A91" w:rsidRDefault="006213AD" w:rsidP="00A61A91">
      <w:pPr>
        <w:pStyle w:val="BulletGCF"/>
        <w:numPr>
          <w:ilvl w:val="0"/>
          <w:numId w:val="20"/>
        </w:numPr>
        <w:rPr>
          <w:rFonts w:asciiTheme="minorHAnsi" w:hAnsiTheme="minorHAnsi" w:cstheme="minorHAnsi"/>
          <w:sz w:val="22"/>
          <w:szCs w:val="22"/>
          <w:lang w:val="en-US"/>
        </w:rPr>
      </w:pPr>
      <w:r w:rsidRPr="006213AD">
        <w:rPr>
          <w:rFonts w:asciiTheme="minorHAnsi" w:hAnsiTheme="minorHAnsi" w:cstheme="minorHAnsi"/>
          <w:sz w:val="22"/>
          <w:szCs w:val="22"/>
          <w:lang w:val="en-US"/>
        </w:rPr>
        <w:t xml:space="preserve">Level of state participation: financing projects with or without a state guarantee; </w:t>
      </w:r>
    </w:p>
    <w:p w14:paraId="105DC7A6" w14:textId="7085D45B" w:rsidR="00A61A91" w:rsidRDefault="006213AD" w:rsidP="00A61A91">
      <w:pPr>
        <w:pStyle w:val="BulletGCF"/>
        <w:numPr>
          <w:ilvl w:val="0"/>
          <w:numId w:val="20"/>
        </w:numPr>
        <w:rPr>
          <w:rFonts w:asciiTheme="minorHAnsi" w:hAnsiTheme="minorHAnsi" w:cstheme="minorHAnsi"/>
          <w:sz w:val="22"/>
          <w:szCs w:val="22"/>
          <w:lang w:val="en-US"/>
        </w:rPr>
      </w:pPr>
      <w:r w:rsidRPr="006213AD">
        <w:rPr>
          <w:rFonts w:asciiTheme="minorHAnsi" w:hAnsiTheme="minorHAnsi" w:cstheme="minorHAnsi"/>
          <w:sz w:val="22"/>
          <w:szCs w:val="22"/>
          <w:lang w:val="en-US"/>
        </w:rPr>
        <w:t xml:space="preserve">Conditions </w:t>
      </w:r>
      <w:r w:rsidR="00A61A91">
        <w:rPr>
          <w:rFonts w:asciiTheme="minorHAnsi" w:hAnsiTheme="minorHAnsi" w:cstheme="minorHAnsi"/>
          <w:sz w:val="22"/>
          <w:szCs w:val="22"/>
          <w:lang w:val="en-US"/>
        </w:rPr>
        <w:t>of</w:t>
      </w:r>
      <w:r w:rsidRPr="006213AD">
        <w:rPr>
          <w:rFonts w:asciiTheme="minorHAnsi" w:hAnsiTheme="minorHAnsi" w:cstheme="minorHAnsi"/>
          <w:sz w:val="22"/>
          <w:szCs w:val="22"/>
          <w:lang w:val="en-US"/>
        </w:rPr>
        <w:t xml:space="preserve"> financing: financing on a repayable or non-repayable basis;</w:t>
      </w:r>
    </w:p>
    <w:p w14:paraId="31DF2942" w14:textId="77777777" w:rsidR="00737F53" w:rsidRDefault="006213AD" w:rsidP="00A61A91">
      <w:pPr>
        <w:pStyle w:val="BulletGCF"/>
        <w:numPr>
          <w:ilvl w:val="0"/>
          <w:numId w:val="20"/>
        </w:numPr>
        <w:rPr>
          <w:rFonts w:asciiTheme="minorHAnsi" w:hAnsiTheme="minorHAnsi" w:cstheme="minorHAnsi"/>
          <w:sz w:val="22"/>
          <w:szCs w:val="22"/>
          <w:lang w:val="en-US"/>
        </w:rPr>
      </w:pPr>
      <w:r w:rsidRPr="006213AD">
        <w:rPr>
          <w:rFonts w:asciiTheme="minorHAnsi" w:hAnsiTheme="minorHAnsi" w:cstheme="minorHAnsi"/>
          <w:sz w:val="22"/>
          <w:szCs w:val="22"/>
          <w:lang w:val="en-US"/>
        </w:rPr>
        <w:t xml:space="preserve">Structuring of funds from </w:t>
      </w:r>
      <w:r w:rsidR="00737F53">
        <w:rPr>
          <w:rFonts w:asciiTheme="minorHAnsi" w:hAnsiTheme="minorHAnsi" w:cstheme="minorHAnsi"/>
          <w:sz w:val="22"/>
          <w:szCs w:val="22"/>
          <w:lang w:val="en-US"/>
        </w:rPr>
        <w:t>co-</w:t>
      </w:r>
      <w:r w:rsidRPr="006213AD">
        <w:rPr>
          <w:rFonts w:asciiTheme="minorHAnsi" w:hAnsiTheme="minorHAnsi" w:cstheme="minorHAnsi"/>
          <w:sz w:val="22"/>
          <w:szCs w:val="22"/>
          <w:lang w:val="en-US"/>
        </w:rPr>
        <w:t xml:space="preserve">financing organizations: parallel or joint financing. </w:t>
      </w:r>
    </w:p>
    <w:p w14:paraId="32BC007E" w14:textId="07CD0775" w:rsidR="00737F53" w:rsidRDefault="006213AD" w:rsidP="00737F53">
      <w:pPr>
        <w:pStyle w:val="BulletGCF"/>
        <w:numPr>
          <w:ilvl w:val="0"/>
          <w:numId w:val="0"/>
        </w:numPr>
        <w:ind w:left="1440"/>
        <w:rPr>
          <w:rFonts w:asciiTheme="minorHAnsi" w:hAnsiTheme="minorHAnsi" w:cstheme="minorHAnsi"/>
          <w:sz w:val="22"/>
          <w:szCs w:val="22"/>
          <w:lang w:val="en-US"/>
        </w:rPr>
      </w:pPr>
      <w:r w:rsidRPr="006213AD">
        <w:rPr>
          <w:rFonts w:asciiTheme="minorHAnsi" w:hAnsiTheme="minorHAnsi" w:cstheme="minorHAnsi"/>
          <w:sz w:val="22"/>
          <w:szCs w:val="22"/>
          <w:lang w:val="en-US"/>
        </w:rPr>
        <w:t>When structuring EDB cooperation with international financial institutions and organizations, it is recommended to take into account the above</w:t>
      </w:r>
      <w:r w:rsidR="00737F53">
        <w:rPr>
          <w:rFonts w:asciiTheme="minorHAnsi" w:hAnsiTheme="minorHAnsi" w:cstheme="minorHAnsi"/>
          <w:sz w:val="22"/>
          <w:szCs w:val="22"/>
          <w:lang w:val="en-US"/>
        </w:rPr>
        <w:t xml:space="preserve"> mentioned</w:t>
      </w:r>
      <w:r w:rsidRPr="006213AD">
        <w:rPr>
          <w:rFonts w:asciiTheme="minorHAnsi" w:hAnsiTheme="minorHAnsi" w:cstheme="minorHAnsi"/>
          <w:sz w:val="22"/>
          <w:szCs w:val="22"/>
          <w:lang w:val="en-US"/>
        </w:rPr>
        <w:t xml:space="preserve"> factors</w:t>
      </w:r>
      <w:r w:rsidR="00737F53">
        <w:rPr>
          <w:rFonts w:asciiTheme="minorHAnsi" w:hAnsiTheme="minorHAnsi" w:cstheme="minorHAnsi"/>
          <w:sz w:val="22"/>
          <w:szCs w:val="22"/>
          <w:lang w:val="en-US"/>
        </w:rPr>
        <w:t>,</w:t>
      </w:r>
      <w:r w:rsidRPr="006213AD">
        <w:rPr>
          <w:rFonts w:asciiTheme="minorHAnsi" w:hAnsiTheme="minorHAnsi" w:cstheme="minorHAnsi"/>
          <w:sz w:val="22"/>
          <w:szCs w:val="22"/>
          <w:lang w:val="en-US"/>
        </w:rPr>
        <w:t xml:space="preserve"> defining </w:t>
      </w:r>
      <w:r w:rsidR="00737F53">
        <w:rPr>
          <w:rFonts w:asciiTheme="minorHAnsi" w:hAnsiTheme="minorHAnsi" w:cstheme="minorHAnsi"/>
          <w:sz w:val="22"/>
          <w:szCs w:val="22"/>
          <w:lang w:val="en-US"/>
        </w:rPr>
        <w:t xml:space="preserve">the </w:t>
      </w:r>
      <w:r w:rsidRPr="006213AD">
        <w:rPr>
          <w:rFonts w:asciiTheme="minorHAnsi" w:hAnsiTheme="minorHAnsi" w:cstheme="minorHAnsi"/>
          <w:sz w:val="22"/>
          <w:szCs w:val="22"/>
          <w:lang w:val="en-US"/>
        </w:rPr>
        <w:t>procedures and organizational schemes for cooperation, and take into account the possibility of applying the existing</w:t>
      </w:r>
      <w:r w:rsidR="00737F53">
        <w:rPr>
          <w:rFonts w:asciiTheme="minorHAnsi" w:hAnsiTheme="minorHAnsi" w:cstheme="minorHAnsi"/>
          <w:sz w:val="22"/>
          <w:szCs w:val="22"/>
          <w:lang w:val="en-US"/>
        </w:rPr>
        <w:t xml:space="preserve"> experience of</w:t>
      </w:r>
      <w:r w:rsidRPr="006213AD">
        <w:rPr>
          <w:rFonts w:asciiTheme="minorHAnsi" w:hAnsiTheme="minorHAnsi" w:cstheme="minorHAnsi"/>
          <w:sz w:val="22"/>
          <w:szCs w:val="22"/>
          <w:lang w:val="en-US"/>
        </w:rPr>
        <w:t xml:space="preserve"> co-financ</w:t>
      </w:r>
      <w:r w:rsidR="00737F53">
        <w:rPr>
          <w:rFonts w:asciiTheme="minorHAnsi" w:hAnsiTheme="minorHAnsi" w:cstheme="minorHAnsi"/>
          <w:sz w:val="22"/>
          <w:szCs w:val="22"/>
          <w:lang w:val="en-US"/>
        </w:rPr>
        <w:t>ing the</w:t>
      </w:r>
      <w:r w:rsidRPr="006213AD">
        <w:rPr>
          <w:rFonts w:asciiTheme="minorHAnsi" w:hAnsiTheme="minorHAnsi" w:cstheme="minorHAnsi"/>
          <w:sz w:val="22"/>
          <w:szCs w:val="22"/>
          <w:lang w:val="en-US"/>
        </w:rPr>
        <w:t xml:space="preserve"> projects </w:t>
      </w:r>
      <w:r w:rsidR="00737F53">
        <w:rPr>
          <w:rFonts w:asciiTheme="minorHAnsi" w:hAnsiTheme="minorHAnsi" w:cstheme="minorHAnsi"/>
          <w:sz w:val="22"/>
          <w:szCs w:val="22"/>
          <w:lang w:val="en-US"/>
        </w:rPr>
        <w:t>by the</w:t>
      </w:r>
      <w:r w:rsidRPr="006213AD">
        <w:rPr>
          <w:rFonts w:asciiTheme="minorHAnsi" w:hAnsiTheme="minorHAnsi" w:cstheme="minorHAnsi"/>
          <w:sz w:val="22"/>
          <w:szCs w:val="22"/>
          <w:lang w:val="en-US"/>
        </w:rPr>
        <w:t xml:space="preserve"> international financial institutions and organizations</w:t>
      </w:r>
      <w:r w:rsidR="00737F53">
        <w:rPr>
          <w:rFonts w:asciiTheme="minorHAnsi" w:hAnsiTheme="minorHAnsi" w:cstheme="minorHAnsi"/>
          <w:sz w:val="22"/>
          <w:szCs w:val="22"/>
          <w:lang w:val="en-US"/>
        </w:rPr>
        <w:t>, which comply</w:t>
      </w:r>
      <w:r w:rsidR="00A77026">
        <w:rPr>
          <w:rFonts w:asciiTheme="minorHAnsi" w:hAnsiTheme="minorHAnsi" w:cstheme="minorHAnsi"/>
          <w:sz w:val="22"/>
          <w:szCs w:val="22"/>
          <w:lang w:val="en-US"/>
        </w:rPr>
        <w:t xml:space="preserve"> with</w:t>
      </w:r>
      <w:r w:rsidR="00737F53">
        <w:rPr>
          <w:rFonts w:asciiTheme="minorHAnsi" w:hAnsiTheme="minorHAnsi" w:cstheme="minorHAnsi"/>
          <w:sz w:val="22"/>
          <w:szCs w:val="22"/>
          <w:lang w:val="en-US"/>
        </w:rPr>
        <w:t xml:space="preserve"> the </w:t>
      </w:r>
      <w:r w:rsidRPr="006213AD">
        <w:rPr>
          <w:rFonts w:asciiTheme="minorHAnsi" w:hAnsiTheme="minorHAnsi" w:cstheme="minorHAnsi"/>
          <w:sz w:val="22"/>
          <w:szCs w:val="22"/>
          <w:lang w:val="en-US"/>
        </w:rPr>
        <w:t xml:space="preserve">implementation requirements of the Bank's operations, the characteristics of the investment projects, </w:t>
      </w:r>
      <w:r w:rsidR="00737F53">
        <w:rPr>
          <w:rFonts w:asciiTheme="minorHAnsi" w:hAnsiTheme="minorHAnsi" w:cstheme="minorHAnsi"/>
          <w:sz w:val="22"/>
          <w:szCs w:val="22"/>
          <w:lang w:val="en-US"/>
        </w:rPr>
        <w:t xml:space="preserve">and </w:t>
      </w:r>
      <w:r w:rsidRPr="006213AD">
        <w:rPr>
          <w:rFonts w:asciiTheme="minorHAnsi" w:hAnsiTheme="minorHAnsi" w:cstheme="minorHAnsi"/>
          <w:sz w:val="22"/>
          <w:szCs w:val="22"/>
          <w:lang w:val="en-US"/>
        </w:rPr>
        <w:t xml:space="preserve">policies and other </w:t>
      </w:r>
      <w:r w:rsidR="00737F53">
        <w:rPr>
          <w:rFonts w:asciiTheme="minorHAnsi" w:hAnsiTheme="minorHAnsi" w:cstheme="minorHAnsi"/>
          <w:sz w:val="22"/>
          <w:szCs w:val="22"/>
          <w:lang w:val="en-US"/>
        </w:rPr>
        <w:t xml:space="preserve">regulatory </w:t>
      </w:r>
      <w:r w:rsidRPr="006213AD">
        <w:rPr>
          <w:rFonts w:asciiTheme="minorHAnsi" w:hAnsiTheme="minorHAnsi" w:cstheme="minorHAnsi"/>
          <w:sz w:val="22"/>
          <w:szCs w:val="22"/>
          <w:lang w:val="en-US"/>
        </w:rPr>
        <w:t>documents</w:t>
      </w:r>
      <w:r w:rsidR="00737F53">
        <w:rPr>
          <w:rFonts w:asciiTheme="minorHAnsi" w:hAnsiTheme="minorHAnsi" w:cstheme="minorHAnsi"/>
          <w:sz w:val="22"/>
          <w:szCs w:val="22"/>
          <w:lang w:val="en-US"/>
        </w:rPr>
        <w:t xml:space="preserve"> of</w:t>
      </w:r>
      <w:r w:rsidRPr="006213AD">
        <w:rPr>
          <w:rFonts w:asciiTheme="minorHAnsi" w:hAnsiTheme="minorHAnsi" w:cstheme="minorHAnsi"/>
          <w:sz w:val="22"/>
          <w:szCs w:val="22"/>
          <w:lang w:val="en-US"/>
        </w:rPr>
        <w:t xml:space="preserve"> co-financing organizations. </w:t>
      </w:r>
    </w:p>
    <w:p w14:paraId="6D83E6B6" w14:textId="67F24022" w:rsidR="006213AD" w:rsidRPr="00D734ED" w:rsidRDefault="006213AD" w:rsidP="00737F53">
      <w:pPr>
        <w:pStyle w:val="BulletGCF"/>
        <w:numPr>
          <w:ilvl w:val="0"/>
          <w:numId w:val="16"/>
        </w:numPr>
        <w:ind w:left="1440" w:hanging="360"/>
        <w:rPr>
          <w:rFonts w:asciiTheme="minorHAnsi" w:hAnsiTheme="minorHAnsi" w:cstheme="minorHAnsi"/>
          <w:sz w:val="22"/>
          <w:szCs w:val="22"/>
          <w:lang w:val="en-US"/>
        </w:rPr>
      </w:pPr>
      <w:r w:rsidRPr="00D734ED">
        <w:rPr>
          <w:rFonts w:asciiTheme="minorHAnsi" w:hAnsiTheme="minorHAnsi" w:cstheme="minorHAnsi"/>
          <w:sz w:val="22"/>
          <w:szCs w:val="22"/>
          <w:lang w:val="en-US"/>
        </w:rPr>
        <w:t>In this document, the consultant provid</w:t>
      </w:r>
      <w:r w:rsidR="00237B32">
        <w:rPr>
          <w:rFonts w:asciiTheme="minorHAnsi" w:hAnsiTheme="minorHAnsi" w:cstheme="minorHAnsi"/>
          <w:sz w:val="22"/>
          <w:szCs w:val="22"/>
          <w:lang w:val="en-US"/>
        </w:rPr>
        <w:t>es</w:t>
      </w:r>
      <w:r w:rsidRPr="00D734ED">
        <w:rPr>
          <w:rFonts w:asciiTheme="minorHAnsi" w:hAnsiTheme="minorHAnsi" w:cstheme="minorHAnsi"/>
          <w:sz w:val="22"/>
          <w:szCs w:val="22"/>
          <w:lang w:val="en-US"/>
        </w:rPr>
        <w:t xml:space="preserve"> a detailed description of </w:t>
      </w:r>
      <w:r w:rsidR="00D734ED">
        <w:rPr>
          <w:rFonts w:asciiTheme="minorHAnsi" w:hAnsiTheme="minorHAnsi" w:cstheme="minorHAnsi"/>
          <w:sz w:val="22"/>
          <w:szCs w:val="22"/>
          <w:lang w:val="en-US"/>
        </w:rPr>
        <w:t>the</w:t>
      </w:r>
      <w:r w:rsidRPr="00D734ED">
        <w:rPr>
          <w:rFonts w:asciiTheme="minorHAnsi" w:hAnsiTheme="minorHAnsi" w:cstheme="minorHAnsi"/>
          <w:sz w:val="22"/>
          <w:szCs w:val="22"/>
          <w:lang w:val="en-US"/>
        </w:rPr>
        <w:t xml:space="preserve"> procedure for obtaining accreditation in the</w:t>
      </w:r>
      <w:r w:rsidR="00906016">
        <w:rPr>
          <w:rFonts w:asciiTheme="minorHAnsi" w:hAnsiTheme="minorHAnsi" w:cstheme="minorHAnsi"/>
          <w:sz w:val="22"/>
          <w:szCs w:val="22"/>
          <w:lang w:val="en-US"/>
        </w:rPr>
        <w:t xml:space="preserve"> Green Climate</w:t>
      </w:r>
      <w:r w:rsidRPr="00D734ED">
        <w:rPr>
          <w:rFonts w:asciiTheme="minorHAnsi" w:hAnsiTheme="minorHAnsi" w:cstheme="minorHAnsi"/>
          <w:sz w:val="22"/>
          <w:szCs w:val="22"/>
          <w:lang w:val="en-US"/>
        </w:rPr>
        <w:t xml:space="preserve"> Fund, as well as the structure of the application for accreditation </w:t>
      </w:r>
      <w:r w:rsidR="00906016">
        <w:rPr>
          <w:rFonts w:asciiTheme="minorHAnsi" w:hAnsiTheme="minorHAnsi" w:cstheme="minorHAnsi"/>
          <w:sz w:val="22"/>
          <w:szCs w:val="22"/>
          <w:lang w:val="en-US"/>
        </w:rPr>
        <w:t>in</w:t>
      </w:r>
      <w:r w:rsidRPr="00D734ED">
        <w:rPr>
          <w:rFonts w:asciiTheme="minorHAnsi" w:hAnsiTheme="minorHAnsi" w:cstheme="minorHAnsi"/>
          <w:sz w:val="22"/>
          <w:szCs w:val="22"/>
          <w:lang w:val="en-US"/>
        </w:rPr>
        <w:t xml:space="preserve"> the Fund, which is a key document in </w:t>
      </w:r>
      <w:r w:rsidR="00D734ED">
        <w:rPr>
          <w:rFonts w:asciiTheme="minorHAnsi" w:hAnsiTheme="minorHAnsi" w:cstheme="minorHAnsi"/>
          <w:sz w:val="22"/>
          <w:szCs w:val="22"/>
          <w:lang w:val="en-US"/>
        </w:rPr>
        <w:t>decision making process about the accreditation.</w:t>
      </w:r>
    </w:p>
    <w:p w14:paraId="584BB635" w14:textId="77777777" w:rsidR="00FF7035" w:rsidRPr="00737F53" w:rsidRDefault="00FF7035" w:rsidP="006213AD">
      <w:pPr>
        <w:pStyle w:val="ListParagraph"/>
        <w:ind w:hanging="360"/>
        <w:jc w:val="both"/>
        <w:rPr>
          <w:rFonts w:asciiTheme="minorHAnsi" w:eastAsiaTheme="minorHAnsi" w:hAnsiTheme="minorHAnsi" w:cstheme="minorHAnsi"/>
          <w:b w:val="0"/>
          <w:sz w:val="22"/>
          <w:szCs w:val="22"/>
          <w:lang w:val="en-US"/>
        </w:rPr>
      </w:pPr>
    </w:p>
    <w:p w14:paraId="6B99FC1F" w14:textId="2513494A" w:rsidR="009A2860" w:rsidRDefault="00FF7035" w:rsidP="009A2860">
      <w:pPr>
        <w:pStyle w:val="ListParagraph"/>
        <w:ind w:left="862"/>
        <w:jc w:val="both"/>
        <w:rPr>
          <w:rFonts w:asciiTheme="minorHAnsi" w:hAnsiTheme="minorHAnsi" w:cstheme="minorHAnsi"/>
          <w:b w:val="0"/>
          <w:sz w:val="22"/>
          <w:szCs w:val="22"/>
        </w:rPr>
      </w:pPr>
      <w:r>
        <w:rPr>
          <w:rFonts w:asciiTheme="minorHAnsi" w:hAnsiTheme="minorHAnsi" w:cstheme="minorHAnsi"/>
          <w:b w:val="0"/>
          <w:sz w:val="22"/>
          <w:szCs w:val="22"/>
        </w:rPr>
        <w:t>In regards of RFP, d</w:t>
      </w:r>
      <w:r w:rsidR="00295E98">
        <w:rPr>
          <w:rFonts w:asciiTheme="minorHAnsi" w:hAnsiTheme="minorHAnsi" w:cstheme="minorHAnsi"/>
          <w:b w:val="0"/>
          <w:sz w:val="22"/>
          <w:szCs w:val="22"/>
        </w:rPr>
        <w:t>espite the fact that UNDP did preliminary market research for the available potential at the national and international markets, and ensured wide distribution of the announcement, including through direct e-mailing to the list of 100 companies, the RFP resulted in two proposals</w:t>
      </w:r>
      <w:r w:rsidR="001F58C2">
        <w:rPr>
          <w:rFonts w:asciiTheme="minorHAnsi" w:hAnsiTheme="minorHAnsi" w:cstheme="minorHAnsi"/>
          <w:b w:val="0"/>
          <w:sz w:val="22"/>
          <w:szCs w:val="22"/>
        </w:rPr>
        <w:t>,</w:t>
      </w:r>
      <w:r w:rsidR="00295E98">
        <w:rPr>
          <w:rFonts w:asciiTheme="minorHAnsi" w:hAnsiTheme="minorHAnsi" w:cstheme="minorHAnsi"/>
          <w:b w:val="0"/>
          <w:sz w:val="22"/>
          <w:szCs w:val="22"/>
        </w:rPr>
        <w:t xml:space="preserve"> one of which was disqualified during initial screening, and the second one was found not appropriate during evaluation. </w:t>
      </w:r>
      <w:r w:rsidR="00B57AD4">
        <w:rPr>
          <w:rFonts w:asciiTheme="minorHAnsi" w:hAnsiTheme="minorHAnsi" w:cstheme="minorHAnsi"/>
          <w:b w:val="0"/>
          <w:sz w:val="22"/>
          <w:szCs w:val="22"/>
        </w:rPr>
        <w:t>The TOR requirements have been revised, and the repeat</w:t>
      </w:r>
      <w:r w:rsidR="00657043">
        <w:rPr>
          <w:rFonts w:asciiTheme="minorHAnsi" w:hAnsiTheme="minorHAnsi" w:cstheme="minorHAnsi"/>
          <w:b w:val="0"/>
          <w:sz w:val="22"/>
          <w:szCs w:val="22"/>
        </w:rPr>
        <w:t>ed</w:t>
      </w:r>
      <w:r w:rsidR="00B57AD4">
        <w:rPr>
          <w:rFonts w:asciiTheme="minorHAnsi" w:hAnsiTheme="minorHAnsi" w:cstheme="minorHAnsi"/>
          <w:b w:val="0"/>
          <w:sz w:val="22"/>
          <w:szCs w:val="22"/>
        </w:rPr>
        <w:t xml:space="preserve"> tender for IC for </w:t>
      </w:r>
      <w:r w:rsidR="009C5D9B">
        <w:rPr>
          <w:rFonts w:asciiTheme="minorHAnsi" w:hAnsiTheme="minorHAnsi" w:cstheme="minorHAnsi"/>
          <w:b w:val="0"/>
          <w:sz w:val="22"/>
          <w:szCs w:val="22"/>
        </w:rPr>
        <w:t xml:space="preserve">the </w:t>
      </w:r>
      <w:r w:rsidR="00B57AD4">
        <w:rPr>
          <w:rFonts w:asciiTheme="minorHAnsi" w:hAnsiTheme="minorHAnsi" w:cstheme="minorHAnsi"/>
          <w:b w:val="0"/>
          <w:sz w:val="22"/>
          <w:szCs w:val="22"/>
        </w:rPr>
        <w:t>capacity assessment of participating banks and preparation of recommendations for new lending projects</w:t>
      </w:r>
      <w:r w:rsidR="0013023D">
        <w:rPr>
          <w:rFonts w:asciiTheme="minorHAnsi" w:hAnsiTheme="minorHAnsi" w:cstheme="minorHAnsi"/>
          <w:b w:val="0"/>
          <w:sz w:val="22"/>
          <w:szCs w:val="22"/>
        </w:rPr>
        <w:t xml:space="preserve"> ha</w:t>
      </w:r>
      <w:r w:rsidR="001F58C2">
        <w:rPr>
          <w:rFonts w:asciiTheme="minorHAnsi" w:hAnsiTheme="minorHAnsi" w:cstheme="minorHAnsi"/>
          <w:b w:val="0"/>
          <w:sz w:val="22"/>
          <w:szCs w:val="22"/>
        </w:rPr>
        <w:t>s</w:t>
      </w:r>
      <w:r w:rsidR="0013023D">
        <w:rPr>
          <w:rFonts w:asciiTheme="minorHAnsi" w:hAnsiTheme="minorHAnsi" w:cstheme="minorHAnsi"/>
          <w:b w:val="0"/>
          <w:sz w:val="22"/>
          <w:szCs w:val="22"/>
        </w:rPr>
        <w:t xml:space="preserve"> been conducted. The tender resulted in</w:t>
      </w:r>
      <w:r w:rsidR="00657043">
        <w:rPr>
          <w:rFonts w:asciiTheme="minorHAnsi" w:hAnsiTheme="minorHAnsi" w:cstheme="minorHAnsi"/>
          <w:b w:val="0"/>
          <w:sz w:val="22"/>
          <w:szCs w:val="22"/>
        </w:rPr>
        <w:t xml:space="preserve"> the</w:t>
      </w:r>
      <w:r w:rsidR="0013023D">
        <w:rPr>
          <w:rFonts w:asciiTheme="minorHAnsi" w:hAnsiTheme="minorHAnsi" w:cstheme="minorHAnsi"/>
          <w:b w:val="0"/>
          <w:sz w:val="22"/>
          <w:szCs w:val="22"/>
        </w:rPr>
        <w:t xml:space="preserve"> successful recruitment of 2 consultant</w:t>
      </w:r>
      <w:r w:rsidR="001F58C2">
        <w:rPr>
          <w:rFonts w:asciiTheme="minorHAnsi" w:hAnsiTheme="minorHAnsi" w:cstheme="minorHAnsi"/>
          <w:b w:val="0"/>
          <w:sz w:val="22"/>
          <w:szCs w:val="22"/>
        </w:rPr>
        <w:t>s</w:t>
      </w:r>
      <w:r w:rsidR="0013023D">
        <w:rPr>
          <w:rFonts w:asciiTheme="minorHAnsi" w:hAnsiTheme="minorHAnsi" w:cstheme="minorHAnsi"/>
          <w:b w:val="0"/>
          <w:sz w:val="22"/>
          <w:szCs w:val="22"/>
        </w:rPr>
        <w:t xml:space="preserve">, </w:t>
      </w:r>
      <w:r w:rsidR="001F58C2">
        <w:rPr>
          <w:rFonts w:asciiTheme="minorHAnsi" w:hAnsiTheme="minorHAnsi" w:cstheme="minorHAnsi"/>
          <w:b w:val="0"/>
          <w:sz w:val="22"/>
          <w:szCs w:val="22"/>
        </w:rPr>
        <w:t>who</w:t>
      </w:r>
      <w:r w:rsidR="0013023D">
        <w:rPr>
          <w:rFonts w:asciiTheme="minorHAnsi" w:hAnsiTheme="minorHAnsi" w:cstheme="minorHAnsi"/>
          <w:b w:val="0"/>
          <w:sz w:val="22"/>
          <w:szCs w:val="22"/>
        </w:rPr>
        <w:t xml:space="preserve"> will start their respective assignment</w:t>
      </w:r>
      <w:r w:rsidR="001F58C2">
        <w:rPr>
          <w:rFonts w:asciiTheme="minorHAnsi" w:hAnsiTheme="minorHAnsi" w:cstheme="minorHAnsi"/>
          <w:b w:val="0"/>
          <w:sz w:val="22"/>
          <w:szCs w:val="22"/>
        </w:rPr>
        <w:t>s</w:t>
      </w:r>
      <w:r w:rsidR="0013023D">
        <w:rPr>
          <w:rFonts w:asciiTheme="minorHAnsi" w:hAnsiTheme="minorHAnsi" w:cstheme="minorHAnsi"/>
          <w:b w:val="0"/>
          <w:sz w:val="22"/>
          <w:szCs w:val="22"/>
        </w:rPr>
        <w:t xml:space="preserve"> in January 2020. </w:t>
      </w:r>
    </w:p>
    <w:p w14:paraId="0D6A2E8C" w14:textId="77777777" w:rsidR="009A2860" w:rsidRDefault="009A2860" w:rsidP="009A2860">
      <w:pPr>
        <w:pStyle w:val="ListParagraph"/>
        <w:ind w:left="862"/>
        <w:jc w:val="both"/>
        <w:rPr>
          <w:rFonts w:asciiTheme="minorHAnsi" w:hAnsiTheme="minorHAnsi" w:cstheme="minorHAnsi"/>
          <w:b w:val="0"/>
          <w:sz w:val="22"/>
          <w:szCs w:val="22"/>
        </w:rPr>
      </w:pPr>
    </w:p>
    <w:p w14:paraId="6859F304" w14:textId="298CEC8D" w:rsidR="00D94155" w:rsidRPr="006B4414" w:rsidRDefault="009A2860" w:rsidP="006B4414">
      <w:pPr>
        <w:pStyle w:val="ListParagraph"/>
        <w:ind w:left="862"/>
        <w:jc w:val="both"/>
        <w:rPr>
          <w:rFonts w:asciiTheme="minorHAnsi" w:hAnsiTheme="minorHAnsi" w:cstheme="minorHAnsi"/>
          <w:b w:val="0"/>
          <w:sz w:val="22"/>
          <w:szCs w:val="22"/>
        </w:rPr>
      </w:pPr>
      <w:r>
        <w:rPr>
          <w:rFonts w:asciiTheme="minorHAnsi" w:hAnsiTheme="minorHAnsi" w:cstheme="minorHAnsi"/>
          <w:b w:val="0"/>
          <w:color w:val="000000"/>
          <w:sz w:val="22"/>
          <w:szCs w:val="22"/>
        </w:rPr>
        <w:t>T</w:t>
      </w:r>
      <w:r w:rsidRPr="009A2860">
        <w:rPr>
          <w:rFonts w:asciiTheme="minorHAnsi" w:hAnsiTheme="minorHAnsi" w:cstheme="minorHAnsi"/>
          <w:b w:val="0"/>
          <w:color w:val="000000"/>
          <w:sz w:val="22"/>
          <w:szCs w:val="22"/>
        </w:rPr>
        <w:t>he Project Coordinator</w:t>
      </w:r>
      <w:r>
        <w:rPr>
          <w:rFonts w:asciiTheme="minorHAnsi" w:hAnsiTheme="minorHAnsi" w:cstheme="minorHAnsi"/>
          <w:b w:val="0"/>
          <w:color w:val="000000"/>
          <w:sz w:val="22"/>
          <w:szCs w:val="22"/>
        </w:rPr>
        <w:t xml:space="preserve"> resigned in August 2019. </w:t>
      </w:r>
      <w:r w:rsidR="00826BC2">
        <w:rPr>
          <w:rFonts w:asciiTheme="minorHAnsi" w:hAnsiTheme="minorHAnsi" w:cstheme="minorHAnsi"/>
          <w:b w:val="0"/>
          <w:color w:val="000000"/>
          <w:sz w:val="22"/>
          <w:szCs w:val="22"/>
        </w:rPr>
        <w:t>UNDP held an open competition and in accordance with the results of the competition, the</w:t>
      </w:r>
      <w:r>
        <w:rPr>
          <w:rFonts w:asciiTheme="minorHAnsi" w:hAnsiTheme="minorHAnsi" w:cstheme="minorHAnsi"/>
          <w:b w:val="0"/>
          <w:color w:val="000000"/>
          <w:sz w:val="22"/>
          <w:szCs w:val="22"/>
        </w:rPr>
        <w:t xml:space="preserve"> new Project </w:t>
      </w:r>
      <w:r w:rsidR="0032657E">
        <w:rPr>
          <w:rFonts w:asciiTheme="minorHAnsi" w:hAnsiTheme="minorHAnsi" w:cstheme="minorHAnsi"/>
          <w:b w:val="0"/>
          <w:color w:val="000000"/>
          <w:sz w:val="22"/>
          <w:szCs w:val="22"/>
        </w:rPr>
        <w:t>Coordinator has</w:t>
      </w:r>
      <w:r>
        <w:rPr>
          <w:rFonts w:asciiTheme="minorHAnsi" w:hAnsiTheme="minorHAnsi" w:cstheme="minorHAnsi"/>
          <w:b w:val="0"/>
          <w:color w:val="000000"/>
          <w:sz w:val="22"/>
          <w:szCs w:val="22"/>
        </w:rPr>
        <w:t xml:space="preserve"> been recruited and </w:t>
      </w:r>
      <w:r>
        <w:rPr>
          <w:rFonts w:asciiTheme="minorHAnsi" w:hAnsiTheme="minorHAnsi" w:cstheme="minorHAnsi"/>
          <w:b w:val="0"/>
          <w:color w:val="000000"/>
          <w:sz w:val="22"/>
          <w:szCs w:val="22"/>
          <w:lang w:val="en-US"/>
        </w:rPr>
        <w:t>started the work in mid-December 2019.</w:t>
      </w:r>
    </w:p>
    <w:p w14:paraId="5DCCC275" w14:textId="77777777" w:rsidR="00D94155" w:rsidRPr="00F015CC" w:rsidRDefault="00D94155" w:rsidP="00D94155">
      <w:pPr>
        <w:pStyle w:val="ListParagraph"/>
        <w:ind w:left="862"/>
        <w:jc w:val="both"/>
        <w:rPr>
          <w:rFonts w:asciiTheme="minorHAnsi" w:hAnsiTheme="minorHAnsi" w:cstheme="minorHAnsi"/>
          <w:b w:val="0"/>
          <w:sz w:val="22"/>
          <w:szCs w:val="22"/>
        </w:rPr>
      </w:pPr>
    </w:p>
    <w:p w14:paraId="134CF2D3" w14:textId="77777777" w:rsidR="00710CFA" w:rsidRPr="00F015CC" w:rsidRDefault="00C03C59" w:rsidP="00F015CC">
      <w:pPr>
        <w:pStyle w:val="a"/>
        <w:spacing w:before="0" w:after="160" w:line="240" w:lineRule="auto"/>
        <w:rPr>
          <w:rFonts w:cstheme="minorHAnsi"/>
          <w:sz w:val="22"/>
          <w:szCs w:val="22"/>
          <w:lang w:val="en-US"/>
        </w:rPr>
      </w:pPr>
      <w:bookmarkStart w:id="3" w:name="_Toc503973943"/>
      <w:r w:rsidRPr="00F015CC">
        <w:rPr>
          <w:rFonts w:cstheme="minorHAnsi"/>
          <w:sz w:val="22"/>
          <w:szCs w:val="22"/>
          <w:lang w:val="en-US"/>
        </w:rPr>
        <w:t>2</w:t>
      </w:r>
      <w:r w:rsidR="00710CFA" w:rsidRPr="00F015CC">
        <w:rPr>
          <w:rFonts w:cstheme="minorHAnsi"/>
          <w:sz w:val="22"/>
          <w:szCs w:val="22"/>
          <w:lang w:val="en-US"/>
        </w:rPr>
        <w:t xml:space="preserve">. </w:t>
      </w:r>
      <w:r w:rsidR="00776B22" w:rsidRPr="00F015CC">
        <w:rPr>
          <w:rFonts w:cstheme="minorHAnsi"/>
          <w:sz w:val="22"/>
          <w:szCs w:val="22"/>
          <w:lang w:val="en-US"/>
        </w:rPr>
        <w:t>RISKS</w:t>
      </w:r>
      <w:bookmarkEnd w:id="3"/>
    </w:p>
    <w:p w14:paraId="60445A91" w14:textId="3EE6D9DB" w:rsidR="00A80DB2" w:rsidRDefault="009F5304" w:rsidP="000F31DD">
      <w:pPr>
        <w:pStyle w:val="ListParagraph"/>
        <w:numPr>
          <w:ilvl w:val="0"/>
          <w:numId w:val="13"/>
        </w:numPr>
        <w:jc w:val="both"/>
        <w:rPr>
          <w:rFonts w:asciiTheme="minorHAnsi" w:hAnsiTheme="minorHAnsi" w:cstheme="minorHAnsi"/>
          <w:b w:val="0"/>
          <w:sz w:val="22"/>
          <w:szCs w:val="22"/>
        </w:rPr>
      </w:pPr>
      <w:r w:rsidRPr="002A2B91">
        <w:rPr>
          <w:rFonts w:asciiTheme="minorHAnsi" w:hAnsiTheme="minorHAnsi" w:cstheme="minorHAnsi"/>
          <w:b w:val="0"/>
          <w:sz w:val="22"/>
          <w:szCs w:val="22"/>
        </w:rPr>
        <w:t xml:space="preserve">The </w:t>
      </w:r>
      <w:r w:rsidR="00FD143D">
        <w:rPr>
          <w:rFonts w:asciiTheme="minorHAnsi" w:hAnsiTheme="minorHAnsi" w:cstheme="minorHAnsi"/>
          <w:b w:val="0"/>
          <w:sz w:val="22"/>
          <w:szCs w:val="22"/>
        </w:rPr>
        <w:t>insufficient</w:t>
      </w:r>
      <w:r w:rsidRPr="002A2B91">
        <w:rPr>
          <w:rFonts w:asciiTheme="minorHAnsi" w:hAnsiTheme="minorHAnsi" w:cstheme="minorHAnsi"/>
          <w:b w:val="0"/>
          <w:sz w:val="22"/>
          <w:szCs w:val="22"/>
        </w:rPr>
        <w:t xml:space="preserve"> capacity of employees of state partners, local governments and the private sector in </w:t>
      </w:r>
      <w:r w:rsidR="00FD143D">
        <w:rPr>
          <w:rFonts w:asciiTheme="minorHAnsi" w:hAnsiTheme="minorHAnsi" w:cstheme="minorHAnsi"/>
          <w:b w:val="0"/>
          <w:sz w:val="22"/>
          <w:szCs w:val="22"/>
        </w:rPr>
        <w:t xml:space="preserve">the field of generating business ideas, preparing and presenting the </w:t>
      </w:r>
      <w:r w:rsidRPr="002A2B91">
        <w:rPr>
          <w:rFonts w:asciiTheme="minorHAnsi" w:hAnsiTheme="minorHAnsi" w:cstheme="minorHAnsi"/>
          <w:b w:val="0"/>
          <w:sz w:val="22"/>
          <w:szCs w:val="22"/>
        </w:rPr>
        <w:t xml:space="preserve">potential investment projects </w:t>
      </w:r>
      <w:r w:rsidR="00FD143D">
        <w:rPr>
          <w:rFonts w:asciiTheme="minorHAnsi" w:hAnsiTheme="minorHAnsi" w:cstheme="minorHAnsi"/>
          <w:b w:val="0"/>
          <w:sz w:val="22"/>
          <w:szCs w:val="22"/>
        </w:rPr>
        <w:t xml:space="preserve">that meet the development priorities of the </w:t>
      </w:r>
      <w:r w:rsidRPr="002A2B91">
        <w:rPr>
          <w:rFonts w:asciiTheme="minorHAnsi" w:hAnsiTheme="minorHAnsi" w:cstheme="minorHAnsi"/>
          <w:b w:val="0"/>
          <w:sz w:val="22"/>
          <w:szCs w:val="22"/>
        </w:rPr>
        <w:t>Kyrgyz Republic is still acute. Therefore, the project</w:t>
      </w:r>
      <w:r w:rsidR="00780DB3">
        <w:rPr>
          <w:rFonts w:asciiTheme="minorHAnsi" w:hAnsiTheme="minorHAnsi" w:cstheme="minorHAnsi"/>
          <w:b w:val="0"/>
          <w:sz w:val="22"/>
          <w:szCs w:val="22"/>
        </w:rPr>
        <w:t xml:space="preserve"> will continue the activities, targeted at</w:t>
      </w:r>
      <w:r w:rsidRPr="002A2B91">
        <w:rPr>
          <w:rFonts w:asciiTheme="minorHAnsi" w:hAnsiTheme="minorHAnsi" w:cstheme="minorHAnsi"/>
          <w:b w:val="0"/>
          <w:sz w:val="22"/>
          <w:szCs w:val="22"/>
        </w:rPr>
        <w:t xml:space="preserve"> different groups of national partners with </w:t>
      </w:r>
      <w:r w:rsidR="00A82144">
        <w:rPr>
          <w:rFonts w:asciiTheme="minorHAnsi" w:hAnsiTheme="minorHAnsi" w:cstheme="minorHAnsi"/>
          <w:b w:val="0"/>
          <w:sz w:val="22"/>
          <w:szCs w:val="22"/>
        </w:rPr>
        <w:t xml:space="preserve">a </w:t>
      </w:r>
      <w:r w:rsidRPr="002A2B91">
        <w:rPr>
          <w:rFonts w:asciiTheme="minorHAnsi" w:hAnsiTheme="minorHAnsi" w:cstheme="minorHAnsi"/>
          <w:b w:val="0"/>
          <w:sz w:val="22"/>
          <w:szCs w:val="22"/>
        </w:rPr>
        <w:t>strong capacity building response aimed at raising awareness of the project participants and clarification of criteria and procedures for collection and filling out the application form</w:t>
      </w:r>
      <w:r w:rsidR="002A2B91">
        <w:rPr>
          <w:rFonts w:asciiTheme="minorHAnsi" w:hAnsiTheme="minorHAnsi" w:cstheme="minorHAnsi"/>
          <w:b w:val="0"/>
          <w:sz w:val="22"/>
          <w:szCs w:val="22"/>
        </w:rPr>
        <w:t>;</w:t>
      </w:r>
    </w:p>
    <w:p w14:paraId="667197C5" w14:textId="77777777" w:rsidR="000F31DD" w:rsidRPr="000F31DD" w:rsidRDefault="000F31DD" w:rsidP="000F31DD">
      <w:pPr>
        <w:pStyle w:val="ListParagraph"/>
        <w:jc w:val="both"/>
        <w:rPr>
          <w:rFonts w:asciiTheme="minorHAnsi" w:hAnsiTheme="minorHAnsi" w:cstheme="minorHAnsi"/>
          <w:b w:val="0"/>
          <w:sz w:val="22"/>
          <w:szCs w:val="22"/>
        </w:rPr>
      </w:pPr>
    </w:p>
    <w:p w14:paraId="3AC0E31E" w14:textId="70DD2DB8" w:rsidR="00856AF3" w:rsidRPr="002A2B91" w:rsidRDefault="00B11455" w:rsidP="002A2B91">
      <w:pPr>
        <w:pStyle w:val="ListParagraph"/>
        <w:numPr>
          <w:ilvl w:val="0"/>
          <w:numId w:val="13"/>
        </w:numPr>
        <w:jc w:val="both"/>
        <w:rPr>
          <w:rFonts w:asciiTheme="minorHAnsi" w:hAnsiTheme="minorHAnsi" w:cstheme="minorHAnsi"/>
          <w:b w:val="0"/>
          <w:sz w:val="22"/>
          <w:szCs w:val="22"/>
        </w:rPr>
      </w:pPr>
      <w:r>
        <w:rPr>
          <w:rFonts w:asciiTheme="minorHAnsi" w:hAnsiTheme="minorHAnsi" w:cstheme="minorHAnsi"/>
          <w:b w:val="0"/>
          <w:color w:val="000000"/>
          <w:sz w:val="22"/>
          <w:szCs w:val="22"/>
        </w:rPr>
        <w:t>Due to the requirement of EDB that the</w:t>
      </w:r>
      <w:r w:rsidR="002A2B91" w:rsidRPr="002A2B91">
        <w:rPr>
          <w:rFonts w:asciiTheme="minorHAnsi" w:hAnsiTheme="minorHAnsi" w:cstheme="minorHAnsi"/>
          <w:b w:val="0"/>
          <w:color w:val="000000"/>
          <w:sz w:val="22"/>
          <w:szCs w:val="22"/>
        </w:rPr>
        <w:t xml:space="preserve"> implementation </w:t>
      </w:r>
      <w:r w:rsidR="00295E98" w:rsidRPr="002A2B91">
        <w:rPr>
          <w:rFonts w:asciiTheme="minorHAnsi" w:hAnsiTheme="minorHAnsi" w:cstheme="minorHAnsi"/>
          <w:b w:val="0"/>
          <w:color w:val="000000"/>
          <w:sz w:val="22"/>
          <w:szCs w:val="22"/>
        </w:rPr>
        <w:t xml:space="preserve">of </w:t>
      </w:r>
      <w:r w:rsidR="007F0751">
        <w:rPr>
          <w:rFonts w:asciiTheme="minorHAnsi" w:hAnsiTheme="minorHAnsi" w:cstheme="minorHAnsi"/>
          <w:b w:val="0"/>
          <w:color w:val="000000"/>
          <w:sz w:val="22"/>
          <w:szCs w:val="22"/>
        </w:rPr>
        <w:t xml:space="preserve">activities on identification of </w:t>
      </w:r>
      <w:r w:rsidR="006B4414">
        <w:rPr>
          <w:rFonts w:asciiTheme="minorHAnsi" w:hAnsiTheme="minorHAnsi" w:cstheme="minorHAnsi"/>
          <w:b w:val="0"/>
          <w:color w:val="000000"/>
          <w:sz w:val="22"/>
          <w:szCs w:val="22"/>
        </w:rPr>
        <w:t>bankable projects</w:t>
      </w:r>
      <w:r w:rsidR="007F0751">
        <w:rPr>
          <w:rFonts w:asciiTheme="minorHAnsi" w:hAnsiTheme="minorHAnsi" w:cstheme="minorHAnsi"/>
          <w:b w:val="0"/>
          <w:color w:val="000000"/>
          <w:sz w:val="22"/>
          <w:szCs w:val="22"/>
        </w:rPr>
        <w:t xml:space="preserve"> and the preparation of feasibility studies</w:t>
      </w:r>
      <w:r w:rsidR="002A2B91" w:rsidRPr="002A2B91">
        <w:rPr>
          <w:rFonts w:asciiTheme="minorHAnsi" w:hAnsiTheme="minorHAnsi" w:cstheme="minorHAnsi"/>
          <w:b w:val="0"/>
          <w:color w:val="000000"/>
          <w:sz w:val="22"/>
          <w:szCs w:val="22"/>
        </w:rPr>
        <w:t xml:space="preserve"> </w:t>
      </w:r>
      <w:r w:rsidR="00295E98" w:rsidRPr="002A2B91">
        <w:rPr>
          <w:rFonts w:asciiTheme="minorHAnsi" w:hAnsiTheme="minorHAnsi" w:cstheme="minorHAnsi"/>
          <w:b w:val="0"/>
          <w:color w:val="000000"/>
          <w:sz w:val="22"/>
          <w:szCs w:val="22"/>
        </w:rPr>
        <w:t>under the component</w:t>
      </w:r>
      <w:r w:rsidR="007F0751">
        <w:rPr>
          <w:rFonts w:asciiTheme="minorHAnsi" w:hAnsiTheme="minorHAnsi" w:cstheme="minorHAnsi"/>
          <w:b w:val="0"/>
          <w:color w:val="000000"/>
          <w:sz w:val="22"/>
          <w:szCs w:val="22"/>
        </w:rPr>
        <w:t xml:space="preserve"> of cooperation with the </w:t>
      </w:r>
      <w:r w:rsidR="00295E98" w:rsidRPr="002A2B91">
        <w:rPr>
          <w:rFonts w:asciiTheme="minorHAnsi" w:hAnsiTheme="minorHAnsi" w:cstheme="minorHAnsi"/>
          <w:b w:val="0"/>
          <w:color w:val="000000"/>
          <w:sz w:val="22"/>
          <w:szCs w:val="22"/>
        </w:rPr>
        <w:t xml:space="preserve">EDB </w:t>
      </w:r>
      <w:r>
        <w:rPr>
          <w:rFonts w:asciiTheme="minorHAnsi" w:hAnsiTheme="minorHAnsi" w:cstheme="minorHAnsi"/>
          <w:b w:val="0"/>
          <w:color w:val="000000"/>
          <w:sz w:val="22"/>
          <w:szCs w:val="22"/>
        </w:rPr>
        <w:t>should</w:t>
      </w:r>
      <w:r w:rsidR="002A2B91" w:rsidRPr="002A2B91">
        <w:rPr>
          <w:rFonts w:asciiTheme="minorHAnsi" w:hAnsiTheme="minorHAnsi" w:cstheme="minorHAnsi"/>
          <w:b w:val="0"/>
          <w:color w:val="000000"/>
          <w:sz w:val="22"/>
          <w:szCs w:val="22"/>
        </w:rPr>
        <w:t xml:space="preserve"> come as the next step to the formulation of </w:t>
      </w:r>
      <w:r w:rsidR="00657043">
        <w:rPr>
          <w:rFonts w:asciiTheme="minorHAnsi" w:hAnsiTheme="minorHAnsi" w:cstheme="minorHAnsi"/>
          <w:b w:val="0"/>
          <w:color w:val="000000"/>
          <w:sz w:val="22"/>
          <w:szCs w:val="22"/>
        </w:rPr>
        <w:t xml:space="preserve">a </w:t>
      </w:r>
      <w:r w:rsidR="007F0751">
        <w:rPr>
          <w:rFonts w:asciiTheme="minorHAnsi" w:hAnsiTheme="minorHAnsi" w:cstheme="minorHAnsi"/>
          <w:b w:val="0"/>
          <w:color w:val="000000"/>
          <w:sz w:val="22"/>
          <w:szCs w:val="22"/>
        </w:rPr>
        <w:t>co-financing</w:t>
      </w:r>
      <w:r w:rsidR="002A2B91" w:rsidRPr="002A2B91">
        <w:rPr>
          <w:rFonts w:asciiTheme="minorHAnsi" w:hAnsiTheme="minorHAnsi" w:cstheme="minorHAnsi"/>
          <w:b w:val="0"/>
          <w:color w:val="000000"/>
          <w:sz w:val="22"/>
          <w:szCs w:val="22"/>
        </w:rPr>
        <w:t xml:space="preserve"> mechanism, the delivery </w:t>
      </w:r>
      <w:r w:rsidR="00F44337">
        <w:rPr>
          <w:rFonts w:asciiTheme="minorHAnsi" w:hAnsiTheme="minorHAnsi" w:cstheme="minorHAnsi"/>
          <w:b w:val="0"/>
          <w:color w:val="000000"/>
          <w:sz w:val="22"/>
          <w:szCs w:val="22"/>
        </w:rPr>
        <w:t>of t</w:t>
      </w:r>
      <w:r w:rsidR="00DF1F05">
        <w:rPr>
          <w:rFonts w:asciiTheme="minorHAnsi" w:hAnsiTheme="minorHAnsi" w:cstheme="minorHAnsi"/>
          <w:b w:val="0"/>
          <w:color w:val="000000"/>
          <w:sz w:val="22"/>
          <w:szCs w:val="22"/>
        </w:rPr>
        <w:t>hese</w:t>
      </w:r>
      <w:r w:rsidR="00F44337">
        <w:rPr>
          <w:rFonts w:asciiTheme="minorHAnsi" w:hAnsiTheme="minorHAnsi" w:cstheme="minorHAnsi"/>
          <w:b w:val="0"/>
          <w:color w:val="000000"/>
          <w:sz w:val="22"/>
          <w:szCs w:val="22"/>
        </w:rPr>
        <w:t xml:space="preserve"> activit</w:t>
      </w:r>
      <w:r w:rsidR="00DF1F05">
        <w:rPr>
          <w:rFonts w:asciiTheme="minorHAnsi" w:hAnsiTheme="minorHAnsi" w:cstheme="minorHAnsi"/>
          <w:b w:val="0"/>
          <w:color w:val="000000"/>
          <w:sz w:val="22"/>
          <w:szCs w:val="22"/>
        </w:rPr>
        <w:t>ies</w:t>
      </w:r>
      <w:r w:rsidR="00533666">
        <w:rPr>
          <w:rFonts w:asciiTheme="minorHAnsi" w:hAnsiTheme="minorHAnsi" w:cstheme="minorHAnsi"/>
          <w:b w:val="0"/>
          <w:color w:val="000000"/>
          <w:sz w:val="22"/>
          <w:szCs w:val="22"/>
        </w:rPr>
        <w:t xml:space="preserve"> was</w:t>
      </w:r>
      <w:r w:rsidR="00AC44FE">
        <w:rPr>
          <w:rFonts w:asciiTheme="minorHAnsi" w:hAnsiTheme="minorHAnsi" w:cstheme="minorHAnsi"/>
          <w:b w:val="0"/>
          <w:color w:val="000000"/>
          <w:sz w:val="22"/>
          <w:szCs w:val="22"/>
        </w:rPr>
        <w:t xml:space="preserve"> </w:t>
      </w:r>
      <w:r w:rsidR="002C29ED">
        <w:rPr>
          <w:rFonts w:asciiTheme="minorHAnsi" w:hAnsiTheme="minorHAnsi" w:cstheme="minorHAnsi"/>
          <w:b w:val="0"/>
          <w:color w:val="000000"/>
          <w:sz w:val="22"/>
          <w:szCs w:val="22"/>
        </w:rPr>
        <w:t>postponed to 2020</w:t>
      </w:r>
      <w:r w:rsidR="002A2B91" w:rsidRPr="002A2B91">
        <w:rPr>
          <w:rFonts w:asciiTheme="minorHAnsi" w:hAnsiTheme="minorHAnsi" w:cstheme="minorHAnsi"/>
          <w:b w:val="0"/>
          <w:color w:val="000000"/>
          <w:sz w:val="22"/>
          <w:szCs w:val="22"/>
        </w:rPr>
        <w:t>.</w:t>
      </w:r>
    </w:p>
    <w:p w14:paraId="269B3BF4" w14:textId="77777777" w:rsidR="004606D7" w:rsidRPr="002A2B91" w:rsidRDefault="004606D7" w:rsidP="002A2B91">
      <w:pPr>
        <w:autoSpaceDE w:val="0"/>
        <w:autoSpaceDN w:val="0"/>
        <w:adjustRightInd w:val="0"/>
        <w:jc w:val="both"/>
        <w:rPr>
          <w:rFonts w:cstheme="minorHAnsi"/>
          <w:color w:val="000000"/>
        </w:rPr>
      </w:pPr>
      <w:bookmarkStart w:id="4" w:name="_Toc503973944"/>
    </w:p>
    <w:p w14:paraId="68BD80C5" w14:textId="77777777" w:rsidR="00657254" w:rsidRPr="00F015CC" w:rsidRDefault="00C03C59" w:rsidP="00F015CC">
      <w:pPr>
        <w:pStyle w:val="a"/>
        <w:spacing w:before="0" w:after="160" w:line="240" w:lineRule="auto"/>
        <w:rPr>
          <w:rFonts w:cstheme="minorHAnsi"/>
          <w:sz w:val="22"/>
          <w:szCs w:val="22"/>
          <w:lang w:val="en-US"/>
        </w:rPr>
      </w:pPr>
      <w:r w:rsidRPr="00F015CC">
        <w:rPr>
          <w:rFonts w:cstheme="minorHAnsi"/>
          <w:sz w:val="22"/>
          <w:szCs w:val="22"/>
          <w:lang w:val="en-US"/>
        </w:rPr>
        <w:t>3</w:t>
      </w:r>
      <w:r w:rsidR="00657254" w:rsidRPr="00F015CC">
        <w:rPr>
          <w:rFonts w:cstheme="minorHAnsi"/>
          <w:sz w:val="22"/>
          <w:szCs w:val="22"/>
          <w:lang w:val="en-US"/>
        </w:rPr>
        <w:t>.</w:t>
      </w:r>
      <w:r w:rsidR="002C0979" w:rsidRPr="00F015CC">
        <w:rPr>
          <w:rFonts w:cstheme="minorHAnsi"/>
          <w:sz w:val="22"/>
          <w:szCs w:val="22"/>
          <w:lang w:val="en-US"/>
        </w:rPr>
        <w:t xml:space="preserve"> LESSONS LEARNT</w:t>
      </w:r>
      <w:bookmarkEnd w:id="4"/>
    </w:p>
    <w:p w14:paraId="6CAA137D" w14:textId="5049BAC6" w:rsidR="002C0979" w:rsidRPr="00F015CC" w:rsidRDefault="002C0979" w:rsidP="00F015CC">
      <w:pPr>
        <w:spacing w:line="240" w:lineRule="auto"/>
        <w:jc w:val="both"/>
        <w:rPr>
          <w:rFonts w:cstheme="minorHAnsi"/>
        </w:rPr>
      </w:pPr>
      <w:r w:rsidRPr="00F015CC">
        <w:rPr>
          <w:rFonts w:cstheme="minorHAnsi"/>
        </w:rPr>
        <w:t xml:space="preserve">A lot of time was spent </w:t>
      </w:r>
      <w:r w:rsidR="0044426A" w:rsidRPr="00F015CC">
        <w:rPr>
          <w:rFonts w:cstheme="minorHAnsi"/>
        </w:rPr>
        <w:t xml:space="preserve">to mobilize </w:t>
      </w:r>
      <w:r w:rsidRPr="00F015CC">
        <w:rPr>
          <w:rFonts w:cstheme="minorHAnsi"/>
        </w:rPr>
        <w:t>the participants and organiz</w:t>
      </w:r>
      <w:r w:rsidR="00A82144">
        <w:rPr>
          <w:rFonts w:cstheme="minorHAnsi"/>
        </w:rPr>
        <w:t>ing</w:t>
      </w:r>
      <w:r w:rsidRPr="00F015CC">
        <w:rPr>
          <w:rFonts w:cstheme="minorHAnsi"/>
        </w:rPr>
        <w:t xml:space="preserve"> the launch of the Project</w:t>
      </w:r>
      <w:r w:rsidR="0044426A" w:rsidRPr="00F015CC">
        <w:rPr>
          <w:rFonts w:cstheme="minorHAnsi"/>
        </w:rPr>
        <w:t xml:space="preserve">. </w:t>
      </w:r>
      <w:r w:rsidR="00B0400D" w:rsidRPr="00F015CC">
        <w:rPr>
          <w:rFonts w:cstheme="minorHAnsi"/>
        </w:rPr>
        <w:t>This</w:t>
      </w:r>
      <w:r w:rsidR="0044426A" w:rsidRPr="00F015CC">
        <w:rPr>
          <w:rFonts w:cstheme="minorHAnsi"/>
        </w:rPr>
        <w:t xml:space="preserve"> </w:t>
      </w:r>
      <w:r w:rsidRPr="00F015CC">
        <w:rPr>
          <w:rFonts w:cstheme="minorHAnsi"/>
        </w:rPr>
        <w:t>situation was significantly affected by the chang</w:t>
      </w:r>
      <w:r w:rsidR="00A82144">
        <w:rPr>
          <w:rFonts w:cstheme="minorHAnsi"/>
        </w:rPr>
        <w:t>ing</w:t>
      </w:r>
      <w:r w:rsidR="005032C1" w:rsidRPr="00F015CC">
        <w:rPr>
          <w:rFonts w:cstheme="minorHAnsi"/>
        </w:rPr>
        <w:t xml:space="preserve"> leadership </w:t>
      </w:r>
      <w:r w:rsidRPr="00F015CC">
        <w:rPr>
          <w:rFonts w:cstheme="minorHAnsi"/>
        </w:rPr>
        <w:t xml:space="preserve">of key </w:t>
      </w:r>
      <w:r w:rsidR="00B0400D" w:rsidRPr="00F015CC">
        <w:rPr>
          <w:rFonts w:cstheme="minorHAnsi"/>
        </w:rPr>
        <w:t>partner</w:t>
      </w:r>
      <w:r w:rsidR="005032C1" w:rsidRPr="00F015CC">
        <w:rPr>
          <w:rFonts w:cstheme="minorHAnsi"/>
        </w:rPr>
        <w:t>s</w:t>
      </w:r>
      <w:r w:rsidR="00B0400D" w:rsidRPr="00F015CC">
        <w:rPr>
          <w:rFonts w:cstheme="minorHAnsi"/>
        </w:rPr>
        <w:t xml:space="preserve">. </w:t>
      </w:r>
      <w:r w:rsidR="000370C3">
        <w:rPr>
          <w:rFonts w:cstheme="minorHAnsi"/>
        </w:rPr>
        <w:t>However, the regular n</w:t>
      </w:r>
      <w:r w:rsidRPr="00F015CC">
        <w:rPr>
          <w:rFonts w:cstheme="minorHAnsi"/>
        </w:rPr>
        <w:t>egotiations</w:t>
      </w:r>
      <w:r w:rsidR="000370C3">
        <w:rPr>
          <w:rFonts w:cstheme="minorHAnsi"/>
        </w:rPr>
        <w:t xml:space="preserve"> of UNDP</w:t>
      </w:r>
      <w:r w:rsidRPr="00F015CC">
        <w:rPr>
          <w:rFonts w:cstheme="minorHAnsi"/>
        </w:rPr>
        <w:t xml:space="preserve"> with partner</w:t>
      </w:r>
      <w:r w:rsidR="0094210A" w:rsidRPr="00F015CC">
        <w:rPr>
          <w:rFonts w:cstheme="minorHAnsi"/>
        </w:rPr>
        <w:t xml:space="preserve">s </w:t>
      </w:r>
      <w:r w:rsidR="006C0106">
        <w:rPr>
          <w:rFonts w:cstheme="minorHAnsi"/>
        </w:rPr>
        <w:t xml:space="preserve">(including the newly appointed ones) </w:t>
      </w:r>
      <w:r w:rsidR="0094210A" w:rsidRPr="00F015CC">
        <w:rPr>
          <w:rFonts w:cstheme="minorHAnsi"/>
        </w:rPr>
        <w:t>and all stakeholders played a significant</w:t>
      </w:r>
      <w:r w:rsidRPr="00F015CC">
        <w:rPr>
          <w:rFonts w:cstheme="minorHAnsi"/>
        </w:rPr>
        <w:t xml:space="preserve"> role </w:t>
      </w:r>
      <w:r w:rsidR="00B0400D" w:rsidRPr="00F015CC">
        <w:rPr>
          <w:rFonts w:cstheme="minorHAnsi"/>
        </w:rPr>
        <w:t xml:space="preserve">in the </w:t>
      </w:r>
      <w:r w:rsidRPr="00F015CC">
        <w:rPr>
          <w:rFonts w:cstheme="minorHAnsi"/>
        </w:rPr>
        <w:t>participation of stakeholders</w:t>
      </w:r>
      <w:r w:rsidR="003C375D" w:rsidRPr="00F015CC">
        <w:rPr>
          <w:rFonts w:cstheme="minorHAnsi"/>
        </w:rPr>
        <w:t xml:space="preserve"> at all levels</w:t>
      </w:r>
      <w:r w:rsidRPr="00F015CC">
        <w:rPr>
          <w:rFonts w:cstheme="minorHAnsi"/>
        </w:rPr>
        <w:t>.</w:t>
      </w:r>
    </w:p>
    <w:p w14:paraId="4C5BCCCA" w14:textId="15142ADE" w:rsidR="009865C1" w:rsidRDefault="009865C1" w:rsidP="00380414">
      <w:pPr>
        <w:jc w:val="both"/>
        <w:rPr>
          <w:rFonts w:cstheme="minorHAnsi"/>
        </w:rPr>
      </w:pPr>
      <w:r w:rsidRPr="009865C1">
        <w:rPr>
          <w:rFonts w:cstheme="minorHAnsi"/>
        </w:rPr>
        <w:t xml:space="preserve">Many business enterprises submitting projects for financing </w:t>
      </w:r>
      <w:r>
        <w:rPr>
          <w:rFonts w:cstheme="minorHAnsi"/>
        </w:rPr>
        <w:t>from the</w:t>
      </w:r>
      <w:r w:rsidRPr="009865C1">
        <w:rPr>
          <w:rFonts w:cstheme="minorHAnsi"/>
        </w:rPr>
        <w:t xml:space="preserve"> RK</w:t>
      </w:r>
      <w:r>
        <w:rPr>
          <w:rFonts w:cstheme="minorHAnsi"/>
        </w:rPr>
        <w:t>DF</w:t>
      </w:r>
      <w:r w:rsidRPr="009865C1">
        <w:rPr>
          <w:rFonts w:cstheme="minorHAnsi"/>
        </w:rPr>
        <w:t xml:space="preserve"> did not show the proper motivation for obtaining further</w:t>
      </w:r>
      <w:r>
        <w:rPr>
          <w:rFonts w:cstheme="minorHAnsi"/>
        </w:rPr>
        <w:t xml:space="preserve"> technical support</w:t>
      </w:r>
      <w:r w:rsidRPr="009865C1">
        <w:rPr>
          <w:rFonts w:cstheme="minorHAnsi"/>
        </w:rPr>
        <w:t xml:space="preserve"> and withdrew the</w:t>
      </w:r>
      <w:r>
        <w:rPr>
          <w:rFonts w:cstheme="minorHAnsi"/>
        </w:rPr>
        <w:t>ir</w:t>
      </w:r>
      <w:r w:rsidRPr="009865C1">
        <w:rPr>
          <w:rFonts w:cstheme="minorHAnsi"/>
        </w:rPr>
        <w:t xml:space="preserve"> projects after selection by the Ministry of Economy. In order to enhance the motivation of the </w:t>
      </w:r>
      <w:r>
        <w:rPr>
          <w:rFonts w:cstheme="minorHAnsi"/>
        </w:rPr>
        <w:t>applicants</w:t>
      </w:r>
      <w:r w:rsidRPr="009865C1">
        <w:rPr>
          <w:rFonts w:cstheme="minorHAnsi"/>
        </w:rPr>
        <w:t xml:space="preserve">, </w:t>
      </w:r>
      <w:r>
        <w:rPr>
          <w:rFonts w:cstheme="minorHAnsi"/>
        </w:rPr>
        <w:t xml:space="preserve">the </w:t>
      </w:r>
      <w:r w:rsidRPr="009865C1">
        <w:rPr>
          <w:rFonts w:cstheme="minorHAnsi"/>
        </w:rPr>
        <w:t xml:space="preserve">national partners proposed the introduction of partial co-financing of </w:t>
      </w:r>
      <w:r>
        <w:rPr>
          <w:rFonts w:cstheme="minorHAnsi"/>
        </w:rPr>
        <w:t>the technical support</w:t>
      </w:r>
      <w:r w:rsidRPr="009865C1">
        <w:rPr>
          <w:rFonts w:cstheme="minorHAnsi"/>
        </w:rPr>
        <w:t xml:space="preserve">. This increased the motivation of applicants to submit documents and submit all documents to </w:t>
      </w:r>
      <w:r>
        <w:rPr>
          <w:rFonts w:cstheme="minorHAnsi"/>
        </w:rPr>
        <w:t>the</w:t>
      </w:r>
      <w:r w:rsidRPr="009865C1">
        <w:rPr>
          <w:rFonts w:cstheme="minorHAnsi"/>
        </w:rPr>
        <w:t xml:space="preserve"> consulting company for analysis, identifying gaps and providing targeted consulting support.</w:t>
      </w:r>
    </w:p>
    <w:p w14:paraId="787B8A3C" w14:textId="786D4F1C" w:rsidR="00380414" w:rsidRDefault="000F31DD" w:rsidP="00380414">
      <w:pPr>
        <w:jc w:val="both"/>
        <w:rPr>
          <w:rFonts w:cstheme="minorHAnsi"/>
        </w:rPr>
      </w:pPr>
      <w:r w:rsidRPr="000F31DD">
        <w:rPr>
          <w:rFonts w:cstheme="minorHAnsi"/>
        </w:rPr>
        <w:t xml:space="preserve">The relative limitation of the professional market of experts and the high and highly specialized qualification requirements, reflected in the </w:t>
      </w:r>
      <w:proofErr w:type="spellStart"/>
      <w:r w:rsidRPr="000F31DD">
        <w:rPr>
          <w:rFonts w:cstheme="minorHAnsi"/>
        </w:rPr>
        <w:t>ToRs</w:t>
      </w:r>
      <w:proofErr w:type="spellEnd"/>
      <w:r w:rsidRPr="000F31DD">
        <w:rPr>
          <w:rFonts w:cstheme="minorHAnsi"/>
        </w:rPr>
        <w:t>, unfortunately, led to unsuccessful initial tenders for attracting experts. The consultations conducted with the project partners, including the EDB,</w:t>
      </w:r>
      <w:r w:rsidR="00380414">
        <w:rPr>
          <w:rFonts w:cstheme="minorHAnsi"/>
        </w:rPr>
        <w:t xml:space="preserve"> </w:t>
      </w:r>
      <w:r w:rsidRPr="000F31DD">
        <w:rPr>
          <w:rFonts w:cstheme="minorHAnsi"/>
        </w:rPr>
        <w:t xml:space="preserve">led to a consensus on the </w:t>
      </w:r>
      <w:r>
        <w:rPr>
          <w:rFonts w:cstheme="minorHAnsi"/>
        </w:rPr>
        <w:t>revision of</w:t>
      </w:r>
      <w:r w:rsidRPr="000F31DD">
        <w:rPr>
          <w:rFonts w:cstheme="minorHAnsi"/>
        </w:rPr>
        <w:t xml:space="preserve"> </w:t>
      </w:r>
      <w:r>
        <w:rPr>
          <w:rFonts w:cstheme="minorHAnsi"/>
        </w:rPr>
        <w:t>qualification requirements</w:t>
      </w:r>
      <w:r w:rsidRPr="000F31DD">
        <w:rPr>
          <w:rFonts w:cstheme="minorHAnsi"/>
        </w:rPr>
        <w:t xml:space="preserve">, which </w:t>
      </w:r>
      <w:r>
        <w:rPr>
          <w:rFonts w:cstheme="minorHAnsi"/>
        </w:rPr>
        <w:t xml:space="preserve">resulted in the </w:t>
      </w:r>
      <w:r w:rsidRPr="000F31DD">
        <w:rPr>
          <w:rFonts w:cstheme="minorHAnsi"/>
        </w:rPr>
        <w:t xml:space="preserve">positive </w:t>
      </w:r>
      <w:r w:rsidR="00380414">
        <w:rPr>
          <w:rFonts w:cstheme="minorHAnsi"/>
        </w:rPr>
        <w:t>outcome</w:t>
      </w:r>
      <w:r w:rsidRPr="000F31DD">
        <w:rPr>
          <w:rFonts w:cstheme="minorHAnsi"/>
        </w:rPr>
        <w:t xml:space="preserve"> </w:t>
      </w:r>
      <w:r w:rsidR="004D5303">
        <w:rPr>
          <w:rFonts w:cstheme="minorHAnsi"/>
        </w:rPr>
        <w:t>of</w:t>
      </w:r>
      <w:r w:rsidRPr="000F31DD">
        <w:rPr>
          <w:rFonts w:cstheme="minorHAnsi"/>
        </w:rPr>
        <w:t xml:space="preserve"> the newly announced tenders. Highly qualified experts were selected and met all the expected requirements</w:t>
      </w:r>
      <w:r w:rsidR="00C113BC">
        <w:rPr>
          <w:rFonts w:cstheme="minorHAnsi"/>
        </w:rPr>
        <w:t xml:space="preserve"> on the developed documents, mechanisms and procedures</w:t>
      </w:r>
      <w:r w:rsidR="00380414">
        <w:rPr>
          <w:rFonts w:cstheme="minorHAnsi"/>
        </w:rPr>
        <w:t>.</w:t>
      </w:r>
    </w:p>
    <w:p w14:paraId="1480D544" w14:textId="77777777" w:rsidR="00E71D5A" w:rsidRPr="005206D4" w:rsidRDefault="00E71D5A" w:rsidP="00380414">
      <w:pPr>
        <w:jc w:val="both"/>
        <w:rPr>
          <w:rFonts w:cstheme="minorHAnsi"/>
        </w:rPr>
      </w:pPr>
    </w:p>
    <w:p w14:paraId="5DC9D62B" w14:textId="77777777" w:rsidR="00607B90" w:rsidRPr="00F015CC" w:rsidRDefault="00F64CC4" w:rsidP="00F015CC">
      <w:pPr>
        <w:pStyle w:val="a"/>
        <w:spacing w:before="0" w:after="160" w:line="240" w:lineRule="auto"/>
        <w:rPr>
          <w:rFonts w:cstheme="minorHAnsi"/>
          <w:sz w:val="22"/>
          <w:szCs w:val="22"/>
          <w:lang w:val="en-US"/>
        </w:rPr>
      </w:pPr>
      <w:bookmarkStart w:id="5" w:name="_Toc503973945"/>
      <w:r w:rsidRPr="00F015CC">
        <w:rPr>
          <w:rFonts w:cstheme="minorHAnsi"/>
          <w:sz w:val="22"/>
          <w:szCs w:val="22"/>
          <w:lang w:val="en-US"/>
        </w:rPr>
        <w:t>4</w:t>
      </w:r>
      <w:r w:rsidR="00607B90" w:rsidRPr="00F015CC">
        <w:rPr>
          <w:rFonts w:cstheme="minorHAnsi"/>
          <w:sz w:val="22"/>
          <w:szCs w:val="22"/>
          <w:lang w:val="en-US"/>
        </w:rPr>
        <w:t xml:space="preserve">. </w:t>
      </w:r>
      <w:r w:rsidR="00A05486" w:rsidRPr="00F015CC">
        <w:rPr>
          <w:rFonts w:cstheme="minorHAnsi"/>
          <w:sz w:val="22"/>
          <w:szCs w:val="22"/>
          <w:lang w:val="en-US"/>
        </w:rPr>
        <w:t>FUTURE PLANS</w:t>
      </w:r>
      <w:bookmarkEnd w:id="5"/>
    </w:p>
    <w:p w14:paraId="3F8CD0B2" w14:textId="0A02FBE5" w:rsidR="00406F2C" w:rsidRPr="00862F1B" w:rsidRDefault="005C220B" w:rsidP="00406F2C">
      <w:pPr>
        <w:pStyle w:val="a"/>
        <w:spacing w:before="0" w:after="160" w:line="240" w:lineRule="auto"/>
        <w:jc w:val="both"/>
        <w:rPr>
          <w:rFonts w:cstheme="minorHAnsi"/>
          <w:bCs/>
          <w:i w:val="0"/>
          <w:iCs w:val="0"/>
          <w:color w:val="auto"/>
          <w:kern w:val="0"/>
          <w:sz w:val="22"/>
          <w:szCs w:val="22"/>
          <w:lang w:val="en-US" w:eastAsia="en-US"/>
        </w:rPr>
      </w:pPr>
      <w:bookmarkStart w:id="6" w:name="_Toc503973946"/>
      <w:r w:rsidRPr="00862F1B">
        <w:rPr>
          <w:rFonts w:cstheme="minorHAnsi"/>
          <w:bCs/>
          <w:i w:val="0"/>
          <w:iCs w:val="0"/>
          <w:color w:val="auto"/>
          <w:kern w:val="0"/>
          <w:sz w:val="22"/>
          <w:szCs w:val="22"/>
          <w:lang w:val="en-US" w:eastAsia="en-US"/>
        </w:rPr>
        <w:t>Plans</w:t>
      </w:r>
      <w:r w:rsidR="00406F2C" w:rsidRPr="00862F1B">
        <w:rPr>
          <w:rFonts w:cstheme="minorHAnsi"/>
          <w:bCs/>
          <w:i w:val="0"/>
          <w:iCs w:val="0"/>
          <w:color w:val="auto"/>
          <w:kern w:val="0"/>
          <w:sz w:val="22"/>
          <w:szCs w:val="22"/>
          <w:lang w:val="en-US" w:eastAsia="en-US"/>
        </w:rPr>
        <w:t xml:space="preserve"> </w:t>
      </w:r>
      <w:r w:rsidRPr="00862F1B">
        <w:rPr>
          <w:rFonts w:cstheme="minorHAnsi"/>
          <w:bCs/>
          <w:i w:val="0"/>
          <w:iCs w:val="0"/>
          <w:color w:val="auto"/>
          <w:kern w:val="0"/>
          <w:sz w:val="22"/>
          <w:szCs w:val="22"/>
          <w:lang w:val="en-US" w:eastAsia="en-US"/>
        </w:rPr>
        <w:t>under</w:t>
      </w:r>
      <w:r w:rsidR="00406F2C" w:rsidRPr="00862F1B">
        <w:rPr>
          <w:rFonts w:cstheme="minorHAnsi"/>
          <w:bCs/>
          <w:i w:val="0"/>
          <w:iCs w:val="0"/>
          <w:color w:val="auto"/>
          <w:kern w:val="0"/>
          <w:sz w:val="22"/>
          <w:szCs w:val="22"/>
          <w:lang w:val="en-US" w:eastAsia="en-US"/>
        </w:rPr>
        <w:t xml:space="preserve"> the Activity </w:t>
      </w:r>
      <w:r w:rsidRPr="00862F1B">
        <w:rPr>
          <w:rFonts w:cstheme="minorHAnsi"/>
          <w:bCs/>
          <w:i w:val="0"/>
          <w:iCs w:val="0"/>
          <w:color w:val="auto"/>
          <w:kern w:val="0"/>
          <w:sz w:val="22"/>
          <w:szCs w:val="22"/>
          <w:lang w:val="en-US" w:eastAsia="en-US"/>
        </w:rPr>
        <w:t>1</w:t>
      </w:r>
    </w:p>
    <w:p w14:paraId="511C7832" w14:textId="3647F12B" w:rsidR="006C4F1A" w:rsidRDefault="00730172" w:rsidP="00452385">
      <w:pPr>
        <w:pStyle w:val="ListParagraph"/>
        <w:numPr>
          <w:ilvl w:val="0"/>
          <w:numId w:val="15"/>
        </w:numPr>
        <w:jc w:val="both"/>
        <w:rPr>
          <w:rFonts w:asciiTheme="minorHAnsi" w:eastAsiaTheme="minorHAnsi" w:hAnsiTheme="minorHAnsi" w:cstheme="minorHAnsi"/>
          <w:b w:val="0"/>
          <w:sz w:val="22"/>
          <w:szCs w:val="22"/>
          <w:lang w:val="en-US"/>
        </w:rPr>
      </w:pPr>
      <w:r w:rsidRPr="00452385">
        <w:rPr>
          <w:rFonts w:asciiTheme="minorHAnsi" w:eastAsiaTheme="minorHAnsi" w:hAnsiTheme="minorHAnsi" w:cstheme="minorHAnsi"/>
          <w:b w:val="0"/>
          <w:sz w:val="22"/>
          <w:szCs w:val="22"/>
          <w:lang w:val="en-US"/>
        </w:rPr>
        <w:t>In the frame of the work of national mechanism for identification of potential business projects</w:t>
      </w:r>
      <w:r w:rsidR="006A236B" w:rsidRPr="00452385">
        <w:rPr>
          <w:rFonts w:asciiTheme="minorHAnsi" w:eastAsiaTheme="minorHAnsi" w:hAnsiTheme="minorHAnsi" w:cstheme="minorHAnsi"/>
          <w:b w:val="0"/>
          <w:sz w:val="22"/>
          <w:szCs w:val="22"/>
          <w:lang w:val="en-US"/>
        </w:rPr>
        <w:t xml:space="preserve">, </w:t>
      </w:r>
      <w:r w:rsidR="00452385">
        <w:rPr>
          <w:rFonts w:asciiTheme="minorHAnsi" w:eastAsiaTheme="minorHAnsi" w:hAnsiTheme="minorHAnsi" w:cstheme="minorHAnsi"/>
          <w:b w:val="0"/>
          <w:sz w:val="22"/>
          <w:szCs w:val="22"/>
          <w:lang w:val="en-US"/>
        </w:rPr>
        <w:t xml:space="preserve">the </w:t>
      </w:r>
      <w:r w:rsidR="006C4F1A" w:rsidRPr="00452385">
        <w:rPr>
          <w:rFonts w:asciiTheme="minorHAnsi" w:eastAsiaTheme="minorHAnsi" w:hAnsiTheme="minorHAnsi" w:cstheme="minorHAnsi"/>
          <w:b w:val="0"/>
          <w:sz w:val="22"/>
          <w:szCs w:val="22"/>
          <w:lang w:val="en-US"/>
        </w:rPr>
        <w:t xml:space="preserve">meetings with business communities are planned to </w:t>
      </w:r>
      <w:r w:rsidR="00380414">
        <w:rPr>
          <w:rFonts w:asciiTheme="minorHAnsi" w:eastAsiaTheme="minorHAnsi" w:hAnsiTheme="minorHAnsi" w:cstheme="minorHAnsi"/>
          <w:b w:val="0"/>
          <w:sz w:val="22"/>
          <w:szCs w:val="22"/>
          <w:lang w:val="en-US"/>
        </w:rPr>
        <w:t xml:space="preserve">further </w:t>
      </w:r>
      <w:r w:rsidR="006C4F1A" w:rsidRPr="00452385">
        <w:rPr>
          <w:rFonts w:asciiTheme="minorHAnsi" w:eastAsiaTheme="minorHAnsi" w:hAnsiTheme="minorHAnsi" w:cstheme="minorHAnsi"/>
          <w:b w:val="0"/>
          <w:sz w:val="22"/>
          <w:szCs w:val="22"/>
          <w:lang w:val="en-US"/>
        </w:rPr>
        <w:t xml:space="preserve">disseminate the information on criteria and procedure for </w:t>
      </w:r>
      <w:r w:rsidR="001950DB">
        <w:rPr>
          <w:rFonts w:asciiTheme="minorHAnsi" w:eastAsiaTheme="minorHAnsi" w:hAnsiTheme="minorHAnsi" w:cstheme="minorHAnsi"/>
          <w:b w:val="0"/>
          <w:sz w:val="22"/>
          <w:szCs w:val="22"/>
          <w:lang w:val="en-US"/>
        </w:rPr>
        <w:t xml:space="preserve">the </w:t>
      </w:r>
      <w:r w:rsidR="006C4F1A" w:rsidRPr="00452385">
        <w:rPr>
          <w:rFonts w:asciiTheme="minorHAnsi" w:eastAsiaTheme="minorHAnsi" w:hAnsiTheme="minorHAnsi" w:cstheme="minorHAnsi"/>
          <w:b w:val="0"/>
          <w:sz w:val="22"/>
          <w:szCs w:val="22"/>
          <w:lang w:val="en-US"/>
        </w:rPr>
        <w:t xml:space="preserve">selection of potential business projects. </w:t>
      </w:r>
      <w:r w:rsidR="00380414">
        <w:rPr>
          <w:rFonts w:asciiTheme="minorHAnsi" w:eastAsiaTheme="minorHAnsi" w:hAnsiTheme="minorHAnsi" w:cstheme="minorHAnsi"/>
          <w:b w:val="0"/>
          <w:sz w:val="22"/>
          <w:szCs w:val="22"/>
          <w:lang w:val="en-US"/>
        </w:rPr>
        <w:t>The w</w:t>
      </w:r>
      <w:r w:rsidR="00380414" w:rsidRPr="00380414">
        <w:rPr>
          <w:rFonts w:asciiTheme="minorHAnsi" w:eastAsiaTheme="minorHAnsi" w:hAnsiTheme="minorHAnsi" w:cstheme="minorHAnsi"/>
          <w:b w:val="0"/>
          <w:sz w:val="22"/>
          <w:szCs w:val="22"/>
          <w:lang w:val="en-US"/>
        </w:rPr>
        <w:t>ork on capacity building to identify potential business projects at different levels</w:t>
      </w:r>
      <w:r w:rsidR="00380414">
        <w:rPr>
          <w:rFonts w:asciiTheme="minorHAnsi" w:eastAsiaTheme="minorHAnsi" w:hAnsiTheme="minorHAnsi" w:cstheme="minorHAnsi"/>
          <w:b w:val="0"/>
          <w:sz w:val="22"/>
          <w:szCs w:val="22"/>
          <w:lang w:val="en-US"/>
        </w:rPr>
        <w:t xml:space="preserve"> will be continued</w:t>
      </w:r>
      <w:r w:rsidR="00380414" w:rsidRPr="00380414">
        <w:rPr>
          <w:rFonts w:asciiTheme="minorHAnsi" w:eastAsiaTheme="minorHAnsi" w:hAnsiTheme="minorHAnsi" w:cstheme="minorHAnsi"/>
          <w:b w:val="0"/>
          <w:sz w:val="22"/>
          <w:szCs w:val="22"/>
          <w:lang w:val="en-US"/>
        </w:rPr>
        <w:t>.</w:t>
      </w:r>
    </w:p>
    <w:p w14:paraId="05EC35EB" w14:textId="77777777" w:rsidR="00DB39FD" w:rsidRPr="00452385" w:rsidRDefault="00DB39FD" w:rsidP="00DB39FD">
      <w:pPr>
        <w:pStyle w:val="ListParagraph"/>
        <w:jc w:val="both"/>
        <w:rPr>
          <w:rFonts w:asciiTheme="minorHAnsi" w:eastAsiaTheme="minorHAnsi" w:hAnsiTheme="minorHAnsi" w:cstheme="minorHAnsi"/>
          <w:b w:val="0"/>
          <w:sz w:val="22"/>
          <w:szCs w:val="22"/>
          <w:lang w:val="en-US"/>
        </w:rPr>
      </w:pPr>
    </w:p>
    <w:p w14:paraId="50A4D4B2" w14:textId="3B8BB40D" w:rsidR="00DB39FD" w:rsidRDefault="006C4F1A" w:rsidP="006C4F1A">
      <w:pPr>
        <w:pStyle w:val="a"/>
        <w:numPr>
          <w:ilvl w:val="0"/>
          <w:numId w:val="14"/>
        </w:numPr>
        <w:spacing w:before="0" w:after="160" w:line="240" w:lineRule="auto"/>
        <w:jc w:val="both"/>
        <w:rPr>
          <w:rFonts w:cstheme="minorHAnsi"/>
          <w:b w:val="0"/>
          <w:i w:val="0"/>
          <w:iCs w:val="0"/>
          <w:color w:val="auto"/>
          <w:kern w:val="0"/>
          <w:sz w:val="22"/>
          <w:szCs w:val="22"/>
          <w:lang w:val="en-US" w:eastAsia="en-US"/>
        </w:rPr>
      </w:pPr>
      <w:r w:rsidRPr="00452385">
        <w:rPr>
          <w:rFonts w:cstheme="minorHAnsi"/>
          <w:b w:val="0"/>
          <w:i w:val="0"/>
          <w:iCs w:val="0"/>
          <w:color w:val="auto"/>
          <w:kern w:val="0"/>
          <w:sz w:val="22"/>
          <w:szCs w:val="22"/>
          <w:lang w:val="en-US" w:eastAsia="en-US"/>
        </w:rPr>
        <w:t>The consultant who is providing the technical support to the Ministry of Economy to the formation of a package of investment projects is planning</w:t>
      </w:r>
      <w:r w:rsidR="00452385">
        <w:rPr>
          <w:rFonts w:cstheme="minorHAnsi"/>
          <w:b w:val="0"/>
          <w:i w:val="0"/>
          <w:iCs w:val="0"/>
          <w:color w:val="auto"/>
          <w:kern w:val="0"/>
          <w:sz w:val="22"/>
          <w:szCs w:val="22"/>
          <w:lang w:val="en-US" w:eastAsia="en-US"/>
        </w:rPr>
        <w:t xml:space="preserve"> to submit the next </w:t>
      </w:r>
      <w:r w:rsidR="00ED1BE6">
        <w:rPr>
          <w:rFonts w:cstheme="minorHAnsi"/>
          <w:b w:val="0"/>
          <w:i w:val="0"/>
          <w:iCs w:val="0"/>
          <w:color w:val="auto"/>
          <w:kern w:val="0"/>
          <w:sz w:val="22"/>
          <w:szCs w:val="22"/>
          <w:lang w:val="en-US" w:eastAsia="en-US"/>
        </w:rPr>
        <w:t>package</w:t>
      </w:r>
      <w:r w:rsidR="00452385">
        <w:rPr>
          <w:rFonts w:cstheme="minorHAnsi"/>
          <w:b w:val="0"/>
          <w:i w:val="0"/>
          <w:iCs w:val="0"/>
          <w:color w:val="auto"/>
          <w:kern w:val="0"/>
          <w:sz w:val="22"/>
          <w:szCs w:val="22"/>
          <w:lang w:val="en-US" w:eastAsia="en-US"/>
        </w:rPr>
        <w:t xml:space="preserve"> of business projects </w:t>
      </w:r>
      <w:r w:rsidR="00DB39FD">
        <w:rPr>
          <w:rFonts w:cstheme="minorHAnsi"/>
          <w:b w:val="0"/>
          <w:i w:val="0"/>
          <w:iCs w:val="0"/>
          <w:color w:val="auto"/>
          <w:kern w:val="0"/>
          <w:sz w:val="22"/>
          <w:szCs w:val="22"/>
          <w:lang w:val="en-US" w:eastAsia="en-US"/>
        </w:rPr>
        <w:t xml:space="preserve">for consideration and approval by the Council in February 2020. </w:t>
      </w:r>
      <w:r w:rsidRPr="00452385">
        <w:rPr>
          <w:rFonts w:cstheme="minorHAnsi"/>
          <w:b w:val="0"/>
          <w:i w:val="0"/>
          <w:iCs w:val="0"/>
          <w:color w:val="auto"/>
          <w:kern w:val="0"/>
          <w:sz w:val="22"/>
          <w:szCs w:val="22"/>
          <w:lang w:val="en-US" w:eastAsia="en-US"/>
        </w:rPr>
        <w:t xml:space="preserve">  </w:t>
      </w:r>
    </w:p>
    <w:p w14:paraId="1F99FB74" w14:textId="5F91F361" w:rsidR="002A2B91" w:rsidRDefault="00E774C0" w:rsidP="006C4F1A">
      <w:pPr>
        <w:pStyle w:val="a"/>
        <w:numPr>
          <w:ilvl w:val="0"/>
          <w:numId w:val="14"/>
        </w:numPr>
        <w:spacing w:before="0" w:after="160" w:line="240" w:lineRule="auto"/>
        <w:jc w:val="both"/>
        <w:rPr>
          <w:rFonts w:cstheme="minorHAnsi"/>
          <w:b w:val="0"/>
          <w:i w:val="0"/>
          <w:iCs w:val="0"/>
          <w:color w:val="auto"/>
          <w:kern w:val="0"/>
          <w:sz w:val="22"/>
          <w:szCs w:val="22"/>
          <w:lang w:val="en-US" w:eastAsia="en-US"/>
        </w:rPr>
      </w:pPr>
      <w:r>
        <w:rPr>
          <w:rFonts w:cstheme="minorHAnsi"/>
          <w:b w:val="0"/>
          <w:i w:val="0"/>
          <w:iCs w:val="0"/>
          <w:color w:val="auto"/>
          <w:kern w:val="0"/>
          <w:sz w:val="22"/>
          <w:szCs w:val="22"/>
          <w:lang w:val="en-US" w:eastAsia="en-US"/>
        </w:rPr>
        <w:t>Further i</w:t>
      </w:r>
      <w:r w:rsidR="002A2B91">
        <w:rPr>
          <w:rFonts w:cstheme="minorHAnsi"/>
          <w:b w:val="0"/>
          <w:i w:val="0"/>
          <w:iCs w:val="0"/>
          <w:color w:val="auto"/>
          <w:kern w:val="0"/>
          <w:sz w:val="22"/>
          <w:szCs w:val="22"/>
          <w:lang w:val="en-US" w:eastAsia="en-US"/>
        </w:rPr>
        <w:t>mplementation of the contract for the development of feasibility stud</w:t>
      </w:r>
      <w:r>
        <w:rPr>
          <w:rFonts w:cstheme="minorHAnsi"/>
          <w:b w:val="0"/>
          <w:i w:val="0"/>
          <w:iCs w:val="0"/>
          <w:color w:val="auto"/>
          <w:kern w:val="0"/>
          <w:sz w:val="22"/>
          <w:szCs w:val="22"/>
          <w:lang w:val="en-US" w:eastAsia="en-US"/>
        </w:rPr>
        <w:t>ies</w:t>
      </w:r>
      <w:r w:rsidR="002A2B91">
        <w:rPr>
          <w:rFonts w:cstheme="minorHAnsi"/>
          <w:b w:val="0"/>
          <w:i w:val="0"/>
          <w:iCs w:val="0"/>
          <w:color w:val="auto"/>
          <w:kern w:val="0"/>
          <w:sz w:val="22"/>
          <w:szCs w:val="22"/>
          <w:lang w:val="en-US" w:eastAsia="en-US"/>
        </w:rPr>
        <w:t xml:space="preserve"> (14 business projects should potentially receive funding from RKDF)</w:t>
      </w:r>
      <w:r w:rsidR="00ED1BE6">
        <w:rPr>
          <w:rFonts w:cstheme="minorHAnsi"/>
          <w:b w:val="0"/>
          <w:i w:val="0"/>
          <w:iCs w:val="0"/>
          <w:color w:val="auto"/>
          <w:kern w:val="0"/>
          <w:sz w:val="22"/>
          <w:szCs w:val="22"/>
          <w:lang w:val="en-US" w:eastAsia="en-US"/>
        </w:rPr>
        <w:t xml:space="preserve"> will be continued</w:t>
      </w:r>
      <w:r w:rsidR="002A2B91">
        <w:rPr>
          <w:rFonts w:cstheme="minorHAnsi"/>
          <w:b w:val="0"/>
          <w:i w:val="0"/>
          <w:iCs w:val="0"/>
          <w:color w:val="auto"/>
          <w:kern w:val="0"/>
          <w:sz w:val="22"/>
          <w:szCs w:val="22"/>
          <w:lang w:val="en-US" w:eastAsia="en-US"/>
        </w:rPr>
        <w:t xml:space="preserve">; </w:t>
      </w:r>
    </w:p>
    <w:p w14:paraId="66C4C0B9" w14:textId="0927934F" w:rsidR="00850670" w:rsidRDefault="009A0977" w:rsidP="002C7329">
      <w:pPr>
        <w:pStyle w:val="a"/>
        <w:numPr>
          <w:ilvl w:val="0"/>
          <w:numId w:val="14"/>
        </w:numPr>
        <w:spacing w:before="0" w:after="160" w:line="240" w:lineRule="auto"/>
        <w:jc w:val="both"/>
        <w:rPr>
          <w:rFonts w:cstheme="minorHAnsi"/>
          <w:b w:val="0"/>
          <w:i w:val="0"/>
          <w:iCs w:val="0"/>
          <w:color w:val="auto"/>
          <w:kern w:val="0"/>
          <w:sz w:val="22"/>
          <w:szCs w:val="22"/>
          <w:lang w:val="en-US" w:eastAsia="en-US"/>
        </w:rPr>
      </w:pPr>
      <w:r>
        <w:rPr>
          <w:rFonts w:cstheme="minorHAnsi"/>
          <w:b w:val="0"/>
          <w:i w:val="0"/>
          <w:iCs w:val="0"/>
          <w:color w:val="auto"/>
          <w:kern w:val="0"/>
          <w:sz w:val="22"/>
          <w:szCs w:val="22"/>
          <w:lang w:val="en-US" w:eastAsia="en-US"/>
        </w:rPr>
        <w:t xml:space="preserve">The activity targeted at </w:t>
      </w:r>
      <w:r w:rsidR="001B0A42">
        <w:rPr>
          <w:rFonts w:cstheme="minorHAnsi"/>
          <w:b w:val="0"/>
          <w:i w:val="0"/>
          <w:iCs w:val="0"/>
          <w:color w:val="auto"/>
          <w:kern w:val="0"/>
          <w:sz w:val="22"/>
          <w:szCs w:val="22"/>
          <w:lang w:val="en-US" w:eastAsia="en-US"/>
        </w:rPr>
        <w:t xml:space="preserve">structural </w:t>
      </w:r>
      <w:r>
        <w:rPr>
          <w:rFonts w:cstheme="minorHAnsi"/>
          <w:b w:val="0"/>
          <w:i w:val="0"/>
          <w:iCs w:val="0"/>
          <w:color w:val="auto"/>
          <w:kern w:val="0"/>
          <w:sz w:val="22"/>
          <w:szCs w:val="22"/>
          <w:lang w:val="en-US" w:eastAsia="en-US"/>
        </w:rPr>
        <w:t>transform</w:t>
      </w:r>
      <w:r w:rsidR="001B0A42">
        <w:rPr>
          <w:rFonts w:cstheme="minorHAnsi"/>
          <w:b w:val="0"/>
          <w:i w:val="0"/>
          <w:iCs w:val="0"/>
          <w:color w:val="auto"/>
          <w:kern w:val="0"/>
          <w:sz w:val="22"/>
          <w:szCs w:val="22"/>
          <w:lang w:val="en-US" w:eastAsia="en-US"/>
        </w:rPr>
        <w:t>ation of</w:t>
      </w:r>
      <w:r>
        <w:rPr>
          <w:rFonts w:cstheme="minorHAnsi"/>
          <w:b w:val="0"/>
          <w:i w:val="0"/>
          <w:iCs w:val="0"/>
          <w:color w:val="auto"/>
          <w:kern w:val="0"/>
          <w:sz w:val="22"/>
          <w:szCs w:val="22"/>
          <w:lang w:val="en-US" w:eastAsia="en-US"/>
        </w:rPr>
        <w:t xml:space="preserve"> the national mechanism for identification of potential business projects into the institutionalized body, Project Preparation Fund </w:t>
      </w:r>
      <w:r w:rsidR="00AE07E3">
        <w:rPr>
          <w:rFonts w:cstheme="minorHAnsi"/>
          <w:b w:val="0"/>
          <w:i w:val="0"/>
          <w:iCs w:val="0"/>
          <w:color w:val="auto"/>
          <w:kern w:val="0"/>
          <w:sz w:val="22"/>
          <w:szCs w:val="22"/>
          <w:lang w:val="en-US" w:eastAsia="en-US"/>
        </w:rPr>
        <w:t xml:space="preserve">will commence. The Ministry of Economy is to provide its vision of </w:t>
      </w:r>
      <w:r w:rsidR="001950DB">
        <w:rPr>
          <w:rFonts w:cstheme="minorHAnsi"/>
          <w:b w:val="0"/>
          <w:i w:val="0"/>
          <w:iCs w:val="0"/>
          <w:color w:val="auto"/>
          <w:kern w:val="0"/>
          <w:sz w:val="22"/>
          <w:szCs w:val="22"/>
          <w:lang w:val="en-US" w:eastAsia="en-US"/>
        </w:rPr>
        <w:t xml:space="preserve">the </w:t>
      </w:r>
      <w:r w:rsidR="00AE07E3">
        <w:rPr>
          <w:rFonts w:cstheme="minorHAnsi"/>
          <w:b w:val="0"/>
          <w:i w:val="0"/>
          <w:iCs w:val="0"/>
          <w:color w:val="auto"/>
          <w:kern w:val="0"/>
          <w:sz w:val="22"/>
          <w:szCs w:val="22"/>
          <w:lang w:val="en-US" w:eastAsia="en-US"/>
        </w:rPr>
        <w:t xml:space="preserve">establishment of this fund, after which the consultant will be recruited to </w:t>
      </w:r>
      <w:r w:rsidR="000412AF">
        <w:rPr>
          <w:rFonts w:cstheme="minorHAnsi"/>
          <w:b w:val="0"/>
          <w:i w:val="0"/>
          <w:iCs w:val="0"/>
          <w:color w:val="auto"/>
          <w:kern w:val="0"/>
          <w:sz w:val="22"/>
          <w:szCs w:val="22"/>
          <w:lang w:val="en-US" w:eastAsia="en-US"/>
        </w:rPr>
        <w:t xml:space="preserve">realize the assignment on the </w:t>
      </w:r>
      <w:r>
        <w:rPr>
          <w:rFonts w:cstheme="minorHAnsi"/>
          <w:b w:val="0"/>
          <w:i w:val="0"/>
          <w:iCs w:val="0"/>
          <w:color w:val="auto"/>
          <w:kern w:val="0"/>
          <w:sz w:val="22"/>
          <w:szCs w:val="22"/>
          <w:lang w:val="en-US" w:eastAsia="en-US"/>
        </w:rPr>
        <w:t>institutionalization of the Project Prepara</w:t>
      </w:r>
      <w:r w:rsidR="000412AF">
        <w:rPr>
          <w:rFonts w:cstheme="minorHAnsi"/>
          <w:b w:val="0"/>
          <w:i w:val="0"/>
          <w:iCs w:val="0"/>
          <w:color w:val="auto"/>
          <w:kern w:val="0"/>
          <w:sz w:val="22"/>
          <w:szCs w:val="22"/>
          <w:lang w:val="en-US" w:eastAsia="en-US"/>
        </w:rPr>
        <w:t>tion Fund.</w:t>
      </w:r>
    </w:p>
    <w:p w14:paraId="4E4AF500" w14:textId="27012F11" w:rsidR="00E71D5A" w:rsidRDefault="00E71D5A" w:rsidP="00E71D5A">
      <w:pPr>
        <w:pStyle w:val="a"/>
        <w:spacing w:before="0" w:after="160" w:line="240" w:lineRule="auto"/>
        <w:ind w:left="720"/>
        <w:jc w:val="both"/>
        <w:rPr>
          <w:rFonts w:cstheme="minorHAnsi"/>
          <w:b w:val="0"/>
          <w:i w:val="0"/>
          <w:iCs w:val="0"/>
          <w:color w:val="auto"/>
          <w:kern w:val="0"/>
          <w:sz w:val="22"/>
          <w:szCs w:val="22"/>
          <w:lang w:val="en-US" w:eastAsia="en-US"/>
        </w:rPr>
      </w:pPr>
    </w:p>
    <w:p w14:paraId="737773EB" w14:textId="77777777" w:rsidR="00E71D5A" w:rsidRPr="002C7329" w:rsidRDefault="00E71D5A" w:rsidP="00E71D5A">
      <w:pPr>
        <w:pStyle w:val="a"/>
        <w:spacing w:before="0" w:after="160" w:line="240" w:lineRule="auto"/>
        <w:ind w:left="720"/>
        <w:jc w:val="both"/>
        <w:rPr>
          <w:rFonts w:cstheme="minorHAnsi"/>
          <w:b w:val="0"/>
          <w:i w:val="0"/>
          <w:iCs w:val="0"/>
          <w:color w:val="auto"/>
          <w:kern w:val="0"/>
          <w:sz w:val="22"/>
          <w:szCs w:val="22"/>
          <w:lang w:val="en-US" w:eastAsia="en-US"/>
        </w:rPr>
      </w:pPr>
    </w:p>
    <w:p w14:paraId="411E6142" w14:textId="7C415AF2" w:rsidR="00850670" w:rsidRPr="00862F1B" w:rsidRDefault="00850670" w:rsidP="00850670">
      <w:pPr>
        <w:pStyle w:val="a"/>
        <w:spacing w:before="0" w:after="160" w:line="240" w:lineRule="auto"/>
        <w:jc w:val="both"/>
        <w:rPr>
          <w:rFonts w:cstheme="minorHAnsi"/>
          <w:bCs/>
          <w:i w:val="0"/>
          <w:iCs w:val="0"/>
          <w:color w:val="auto"/>
          <w:kern w:val="0"/>
          <w:sz w:val="22"/>
          <w:szCs w:val="22"/>
          <w:lang w:val="en-US" w:eastAsia="en-US"/>
        </w:rPr>
      </w:pPr>
      <w:r w:rsidRPr="00862F1B">
        <w:rPr>
          <w:rFonts w:cstheme="minorHAnsi"/>
          <w:bCs/>
          <w:i w:val="0"/>
          <w:iCs w:val="0"/>
          <w:color w:val="auto"/>
          <w:kern w:val="0"/>
          <w:sz w:val="22"/>
          <w:szCs w:val="22"/>
          <w:lang w:val="en-US" w:eastAsia="en-US"/>
        </w:rPr>
        <w:t>Plans under the Activity 2</w:t>
      </w:r>
    </w:p>
    <w:p w14:paraId="1DED75B2" w14:textId="07C365CF" w:rsidR="002B1AE3" w:rsidRDefault="00A47095" w:rsidP="002B1AE3">
      <w:pPr>
        <w:pStyle w:val="a"/>
        <w:numPr>
          <w:ilvl w:val="0"/>
          <w:numId w:val="14"/>
        </w:numPr>
        <w:spacing w:before="0" w:after="160" w:line="240" w:lineRule="auto"/>
        <w:jc w:val="both"/>
        <w:rPr>
          <w:rFonts w:cstheme="minorHAnsi"/>
          <w:b w:val="0"/>
          <w:i w:val="0"/>
          <w:iCs w:val="0"/>
          <w:color w:val="auto"/>
          <w:kern w:val="0"/>
          <w:sz w:val="22"/>
          <w:szCs w:val="22"/>
          <w:lang w:val="en-US" w:eastAsia="en-US"/>
        </w:rPr>
      </w:pPr>
      <w:r>
        <w:rPr>
          <w:rFonts w:cstheme="minorHAnsi"/>
          <w:b w:val="0"/>
          <w:i w:val="0"/>
          <w:iCs w:val="0"/>
          <w:color w:val="auto"/>
          <w:kern w:val="0"/>
          <w:sz w:val="22"/>
          <w:szCs w:val="22"/>
          <w:lang w:val="en-US" w:eastAsia="en-US"/>
        </w:rPr>
        <w:t>The</w:t>
      </w:r>
      <w:r w:rsidR="00797918">
        <w:rPr>
          <w:rFonts w:cstheme="minorHAnsi"/>
          <w:b w:val="0"/>
          <w:i w:val="0"/>
          <w:iCs w:val="0"/>
          <w:color w:val="auto"/>
          <w:kern w:val="0"/>
          <w:sz w:val="22"/>
          <w:szCs w:val="22"/>
          <w:lang w:val="en-US" w:eastAsia="en-US"/>
        </w:rPr>
        <w:t xml:space="preserve"> consultant, responsible for the </w:t>
      </w:r>
      <w:r w:rsidR="00797918" w:rsidRPr="00797918">
        <w:rPr>
          <w:rFonts w:cstheme="minorHAnsi"/>
          <w:b w:val="0"/>
          <w:i w:val="0"/>
          <w:iCs w:val="0"/>
          <w:color w:val="auto"/>
          <w:kern w:val="0"/>
          <w:sz w:val="22"/>
          <w:szCs w:val="22"/>
          <w:lang w:val="en-US" w:eastAsia="en-US"/>
        </w:rPr>
        <w:t>ass</w:t>
      </w:r>
      <w:r w:rsidR="00797918">
        <w:rPr>
          <w:rFonts w:cstheme="minorHAnsi"/>
          <w:b w:val="0"/>
          <w:i w:val="0"/>
          <w:iCs w:val="0"/>
          <w:color w:val="auto"/>
          <w:kern w:val="0"/>
          <w:sz w:val="22"/>
          <w:szCs w:val="22"/>
          <w:lang w:val="en-US" w:eastAsia="en-US"/>
        </w:rPr>
        <w:t>essment of</w:t>
      </w:r>
      <w:r w:rsidR="00797918" w:rsidRPr="00797918">
        <w:rPr>
          <w:rFonts w:cstheme="minorHAnsi"/>
          <w:b w:val="0"/>
          <w:i w:val="0"/>
          <w:iCs w:val="0"/>
          <w:color w:val="auto"/>
          <w:kern w:val="0"/>
          <w:sz w:val="22"/>
          <w:szCs w:val="22"/>
          <w:lang w:val="en-US" w:eastAsia="en-US"/>
        </w:rPr>
        <w:t xml:space="preserve"> </w:t>
      </w:r>
      <w:r w:rsidR="001950DB">
        <w:rPr>
          <w:rFonts w:cstheme="minorHAnsi"/>
          <w:b w:val="0"/>
          <w:i w:val="0"/>
          <w:iCs w:val="0"/>
          <w:color w:val="auto"/>
          <w:kern w:val="0"/>
          <w:sz w:val="22"/>
          <w:szCs w:val="22"/>
          <w:lang w:val="en-US" w:eastAsia="en-US"/>
        </w:rPr>
        <w:t xml:space="preserve">the </w:t>
      </w:r>
      <w:r w:rsidR="00797918" w:rsidRPr="00797918">
        <w:rPr>
          <w:rFonts w:cstheme="minorHAnsi"/>
          <w:b w:val="0"/>
          <w:i w:val="0"/>
          <w:iCs w:val="0"/>
          <w:color w:val="auto"/>
          <w:kern w:val="0"/>
          <w:sz w:val="22"/>
          <w:szCs w:val="22"/>
          <w:lang w:val="en-US" w:eastAsia="en-US"/>
        </w:rPr>
        <w:t xml:space="preserve">needs of </w:t>
      </w:r>
      <w:r w:rsidR="003329B0">
        <w:rPr>
          <w:rFonts w:cstheme="minorHAnsi"/>
          <w:b w:val="0"/>
          <w:i w:val="0"/>
          <w:iCs w:val="0"/>
          <w:color w:val="auto"/>
          <w:kern w:val="0"/>
          <w:sz w:val="22"/>
          <w:szCs w:val="22"/>
          <w:lang w:val="en-US" w:eastAsia="en-US"/>
        </w:rPr>
        <w:t xml:space="preserve">the </w:t>
      </w:r>
      <w:r w:rsidR="00797918" w:rsidRPr="00797918">
        <w:rPr>
          <w:rFonts w:cstheme="minorHAnsi"/>
          <w:b w:val="0"/>
          <w:i w:val="0"/>
          <w:iCs w:val="0"/>
          <w:color w:val="auto"/>
          <w:kern w:val="0"/>
          <w:sz w:val="22"/>
          <w:szCs w:val="22"/>
          <w:lang w:val="en-US" w:eastAsia="en-US"/>
        </w:rPr>
        <w:t xml:space="preserve">participating banks to strengthen </w:t>
      </w:r>
      <w:r w:rsidR="00797918">
        <w:rPr>
          <w:rFonts w:cstheme="minorHAnsi"/>
          <w:b w:val="0"/>
          <w:i w:val="0"/>
          <w:iCs w:val="0"/>
          <w:color w:val="auto"/>
          <w:kern w:val="0"/>
          <w:sz w:val="22"/>
          <w:szCs w:val="22"/>
          <w:lang w:val="en-US" w:eastAsia="en-US"/>
        </w:rPr>
        <w:t xml:space="preserve">their </w:t>
      </w:r>
      <w:r w:rsidR="00797918" w:rsidRPr="00797918">
        <w:rPr>
          <w:rFonts w:cstheme="minorHAnsi"/>
          <w:b w:val="0"/>
          <w:i w:val="0"/>
          <w:iCs w:val="0"/>
          <w:color w:val="auto"/>
          <w:kern w:val="0"/>
          <w:sz w:val="22"/>
          <w:szCs w:val="22"/>
          <w:lang w:val="en-US" w:eastAsia="en-US"/>
        </w:rPr>
        <w:t>capacity</w:t>
      </w:r>
      <w:r w:rsidR="00797918">
        <w:rPr>
          <w:rFonts w:cstheme="minorHAnsi"/>
          <w:b w:val="0"/>
          <w:i w:val="0"/>
          <w:iCs w:val="0"/>
          <w:color w:val="auto"/>
          <w:kern w:val="0"/>
          <w:sz w:val="22"/>
          <w:szCs w:val="22"/>
          <w:lang w:val="en-US" w:eastAsia="en-US"/>
        </w:rPr>
        <w:t xml:space="preserve"> </w:t>
      </w:r>
      <w:r w:rsidR="00E81F2F">
        <w:rPr>
          <w:rFonts w:cstheme="minorHAnsi"/>
          <w:b w:val="0"/>
          <w:i w:val="0"/>
          <w:iCs w:val="0"/>
          <w:color w:val="auto"/>
          <w:kern w:val="0"/>
          <w:sz w:val="22"/>
          <w:szCs w:val="22"/>
          <w:lang w:val="en-US" w:eastAsia="en-US"/>
        </w:rPr>
        <w:t>will commence t</w:t>
      </w:r>
      <w:r w:rsidR="002B1AE3">
        <w:rPr>
          <w:rFonts w:cstheme="minorHAnsi"/>
          <w:b w:val="0"/>
          <w:i w:val="0"/>
          <w:iCs w:val="0"/>
          <w:color w:val="auto"/>
          <w:kern w:val="0"/>
          <w:sz w:val="22"/>
          <w:szCs w:val="22"/>
          <w:lang w:val="en-US" w:eastAsia="en-US"/>
        </w:rPr>
        <w:t xml:space="preserve">he </w:t>
      </w:r>
      <w:r w:rsidR="00E81F2F">
        <w:rPr>
          <w:rFonts w:cstheme="minorHAnsi"/>
          <w:b w:val="0"/>
          <w:i w:val="0"/>
          <w:iCs w:val="0"/>
          <w:color w:val="auto"/>
          <w:kern w:val="0"/>
          <w:sz w:val="22"/>
          <w:szCs w:val="22"/>
          <w:lang w:val="en-US" w:eastAsia="en-US"/>
        </w:rPr>
        <w:t xml:space="preserve">assignment in January 2020. </w:t>
      </w:r>
      <w:r w:rsidR="002B1AE3">
        <w:rPr>
          <w:rFonts w:cstheme="minorHAnsi"/>
          <w:b w:val="0"/>
          <w:i w:val="0"/>
          <w:iCs w:val="0"/>
          <w:color w:val="auto"/>
          <w:kern w:val="0"/>
          <w:sz w:val="22"/>
          <w:szCs w:val="22"/>
          <w:lang w:val="en-US" w:eastAsia="en-US"/>
        </w:rPr>
        <w:t xml:space="preserve"> </w:t>
      </w:r>
      <w:r w:rsidR="00E81F2F" w:rsidRPr="002B1AE3">
        <w:rPr>
          <w:rFonts w:cstheme="minorHAnsi"/>
          <w:b w:val="0"/>
          <w:i w:val="0"/>
          <w:iCs w:val="0"/>
          <w:color w:val="auto"/>
          <w:kern w:val="0"/>
          <w:sz w:val="22"/>
          <w:szCs w:val="22"/>
          <w:lang w:val="en-US" w:eastAsia="en-US"/>
        </w:rPr>
        <w:t>On the base of the output of th</w:t>
      </w:r>
      <w:r w:rsidR="002B1AE3">
        <w:rPr>
          <w:rFonts w:cstheme="minorHAnsi"/>
          <w:b w:val="0"/>
          <w:i w:val="0"/>
          <w:iCs w:val="0"/>
          <w:color w:val="auto"/>
          <w:kern w:val="0"/>
          <w:sz w:val="22"/>
          <w:szCs w:val="22"/>
          <w:lang w:val="en-US" w:eastAsia="en-US"/>
        </w:rPr>
        <w:t>is</w:t>
      </w:r>
      <w:r w:rsidR="00E81F2F" w:rsidRPr="002B1AE3">
        <w:rPr>
          <w:rFonts w:cstheme="minorHAnsi"/>
          <w:b w:val="0"/>
          <w:i w:val="0"/>
          <w:iCs w:val="0"/>
          <w:color w:val="auto"/>
          <w:kern w:val="0"/>
          <w:sz w:val="22"/>
          <w:szCs w:val="22"/>
          <w:lang w:val="en-US" w:eastAsia="en-US"/>
        </w:rPr>
        <w:t xml:space="preserve"> assignment, the number of </w:t>
      </w:r>
      <w:r w:rsidR="002B1AE3" w:rsidRPr="002B1AE3">
        <w:rPr>
          <w:rFonts w:cstheme="minorHAnsi"/>
          <w:b w:val="0"/>
          <w:i w:val="0"/>
          <w:iCs w:val="0"/>
          <w:color w:val="auto"/>
          <w:kern w:val="0"/>
          <w:sz w:val="22"/>
          <w:szCs w:val="22"/>
          <w:lang w:val="en-US" w:eastAsia="en-US"/>
        </w:rPr>
        <w:t xml:space="preserve">training </w:t>
      </w:r>
      <w:r w:rsidR="00E81F2F" w:rsidRPr="002B1AE3">
        <w:rPr>
          <w:rFonts w:cstheme="minorHAnsi"/>
          <w:b w:val="0"/>
          <w:i w:val="0"/>
          <w:iCs w:val="0"/>
          <w:color w:val="auto"/>
          <w:kern w:val="0"/>
          <w:sz w:val="22"/>
          <w:szCs w:val="22"/>
          <w:lang w:val="en-US" w:eastAsia="en-US"/>
        </w:rPr>
        <w:t>activities</w:t>
      </w:r>
      <w:r w:rsidR="007569C8">
        <w:rPr>
          <w:rFonts w:cstheme="minorHAnsi"/>
          <w:b w:val="0"/>
          <w:i w:val="0"/>
          <w:iCs w:val="0"/>
          <w:color w:val="auto"/>
          <w:kern w:val="0"/>
          <w:sz w:val="22"/>
          <w:szCs w:val="22"/>
          <w:lang w:val="en-US" w:eastAsia="en-US"/>
        </w:rPr>
        <w:t xml:space="preserve"> aimed</w:t>
      </w:r>
      <w:r w:rsidR="00E81F2F" w:rsidRPr="002B1AE3">
        <w:rPr>
          <w:rFonts w:cstheme="minorHAnsi"/>
          <w:b w:val="0"/>
          <w:i w:val="0"/>
          <w:iCs w:val="0"/>
          <w:color w:val="auto"/>
          <w:kern w:val="0"/>
          <w:sz w:val="22"/>
          <w:szCs w:val="22"/>
          <w:lang w:val="en-US" w:eastAsia="en-US"/>
        </w:rPr>
        <w:t xml:space="preserve"> at strengthening the capacity of commercial banks and their client</w:t>
      </w:r>
      <w:r w:rsidR="002B1AE3">
        <w:rPr>
          <w:rFonts w:cstheme="minorHAnsi"/>
          <w:b w:val="0"/>
          <w:i w:val="0"/>
          <w:iCs w:val="0"/>
          <w:color w:val="auto"/>
          <w:kern w:val="0"/>
          <w:sz w:val="22"/>
          <w:szCs w:val="22"/>
          <w:lang w:val="en-US" w:eastAsia="en-US"/>
        </w:rPr>
        <w:t>s will be launched.</w:t>
      </w:r>
    </w:p>
    <w:p w14:paraId="6B076D06" w14:textId="5BF5B85B" w:rsidR="002B1AE3" w:rsidRDefault="002B1AE3" w:rsidP="002B1AE3">
      <w:pPr>
        <w:pStyle w:val="a"/>
        <w:numPr>
          <w:ilvl w:val="0"/>
          <w:numId w:val="14"/>
        </w:numPr>
        <w:spacing w:before="0" w:after="160" w:line="240" w:lineRule="auto"/>
        <w:jc w:val="both"/>
        <w:rPr>
          <w:rFonts w:cstheme="minorHAnsi"/>
          <w:b w:val="0"/>
          <w:i w:val="0"/>
          <w:iCs w:val="0"/>
          <w:color w:val="auto"/>
          <w:kern w:val="0"/>
          <w:sz w:val="22"/>
          <w:szCs w:val="22"/>
          <w:lang w:val="en-US" w:eastAsia="en-US"/>
        </w:rPr>
      </w:pPr>
      <w:r>
        <w:rPr>
          <w:rFonts w:cstheme="minorHAnsi"/>
          <w:b w:val="0"/>
          <w:i w:val="0"/>
          <w:iCs w:val="0"/>
          <w:color w:val="auto"/>
          <w:kern w:val="0"/>
          <w:sz w:val="22"/>
          <w:szCs w:val="22"/>
          <w:lang w:val="en-US" w:eastAsia="en-US"/>
        </w:rPr>
        <w:t>The second consultant, responsible for the development of</w:t>
      </w:r>
      <w:r w:rsidRPr="00797918">
        <w:rPr>
          <w:rFonts w:cstheme="minorHAnsi"/>
          <w:b w:val="0"/>
          <w:i w:val="0"/>
          <w:iCs w:val="0"/>
          <w:color w:val="auto"/>
          <w:kern w:val="0"/>
          <w:sz w:val="22"/>
          <w:szCs w:val="22"/>
          <w:lang w:val="en-US" w:eastAsia="en-US"/>
        </w:rPr>
        <w:t xml:space="preserve"> new </w:t>
      </w:r>
      <w:r>
        <w:rPr>
          <w:rFonts w:cstheme="minorHAnsi"/>
          <w:b w:val="0"/>
          <w:i w:val="0"/>
          <w:iCs w:val="0"/>
          <w:color w:val="auto"/>
          <w:kern w:val="0"/>
          <w:sz w:val="22"/>
          <w:szCs w:val="22"/>
          <w:lang w:val="en-US" w:eastAsia="en-US"/>
        </w:rPr>
        <w:t xml:space="preserve">credit products </w:t>
      </w:r>
      <w:r w:rsidR="00B52D2F" w:rsidRPr="002A2B91">
        <w:rPr>
          <w:rFonts w:cstheme="minorHAnsi"/>
          <w:b w:val="0"/>
          <w:i w:val="0"/>
          <w:iCs w:val="0"/>
          <w:color w:val="auto"/>
          <w:kern w:val="0"/>
          <w:sz w:val="22"/>
          <w:szCs w:val="22"/>
          <w:lang w:val="en-US" w:eastAsia="en-US"/>
        </w:rPr>
        <w:t>in priority thematic area</w:t>
      </w:r>
      <w:r w:rsidR="00B52D2F">
        <w:rPr>
          <w:rFonts w:cstheme="minorHAnsi"/>
          <w:b w:val="0"/>
          <w:i w:val="0"/>
          <w:iCs w:val="0"/>
          <w:color w:val="auto"/>
          <w:kern w:val="0"/>
          <w:sz w:val="22"/>
          <w:szCs w:val="22"/>
          <w:lang w:val="en-US" w:eastAsia="en-US"/>
        </w:rPr>
        <w:t>s</w:t>
      </w:r>
      <w:r w:rsidR="00B52D2F" w:rsidRPr="002A2B91">
        <w:rPr>
          <w:rFonts w:cstheme="minorHAnsi"/>
          <w:b w:val="0"/>
          <w:i w:val="0"/>
          <w:iCs w:val="0"/>
          <w:color w:val="auto"/>
          <w:kern w:val="0"/>
          <w:sz w:val="22"/>
          <w:szCs w:val="22"/>
          <w:lang w:val="en-US" w:eastAsia="en-US"/>
        </w:rPr>
        <w:t xml:space="preserve"> </w:t>
      </w:r>
      <w:r>
        <w:rPr>
          <w:rFonts w:cstheme="minorHAnsi"/>
          <w:b w:val="0"/>
          <w:i w:val="0"/>
          <w:iCs w:val="0"/>
          <w:color w:val="auto"/>
          <w:kern w:val="0"/>
          <w:sz w:val="22"/>
          <w:szCs w:val="22"/>
          <w:lang w:val="en-US" w:eastAsia="en-US"/>
        </w:rPr>
        <w:t>for EDB and second</w:t>
      </w:r>
      <w:r w:rsidR="006B6D89">
        <w:rPr>
          <w:rFonts w:cstheme="minorHAnsi"/>
          <w:b w:val="0"/>
          <w:i w:val="0"/>
          <w:iCs w:val="0"/>
          <w:color w:val="auto"/>
          <w:kern w:val="0"/>
          <w:sz w:val="22"/>
          <w:szCs w:val="22"/>
          <w:lang w:val="en-US" w:eastAsia="en-US"/>
        </w:rPr>
        <w:t>-</w:t>
      </w:r>
      <w:r>
        <w:rPr>
          <w:rFonts w:cstheme="minorHAnsi"/>
          <w:b w:val="0"/>
          <w:i w:val="0"/>
          <w:iCs w:val="0"/>
          <w:color w:val="auto"/>
          <w:kern w:val="0"/>
          <w:sz w:val="22"/>
          <w:szCs w:val="22"/>
          <w:lang w:val="en-US" w:eastAsia="en-US"/>
        </w:rPr>
        <w:t xml:space="preserve">tier banks will also start the assignment in January 2020. </w:t>
      </w:r>
      <w:r w:rsidR="00642E74">
        <w:rPr>
          <w:rFonts w:cstheme="minorHAnsi"/>
          <w:b w:val="0"/>
          <w:i w:val="0"/>
          <w:iCs w:val="0"/>
          <w:color w:val="auto"/>
          <w:kern w:val="0"/>
          <w:sz w:val="22"/>
          <w:szCs w:val="22"/>
          <w:lang w:val="en-US" w:eastAsia="en-US"/>
        </w:rPr>
        <w:t xml:space="preserve">As </w:t>
      </w:r>
      <w:r w:rsidR="001950DB">
        <w:rPr>
          <w:rFonts w:cstheme="minorHAnsi"/>
          <w:b w:val="0"/>
          <w:i w:val="0"/>
          <w:iCs w:val="0"/>
          <w:color w:val="auto"/>
          <w:kern w:val="0"/>
          <w:sz w:val="22"/>
          <w:szCs w:val="22"/>
          <w:lang w:val="en-US" w:eastAsia="en-US"/>
        </w:rPr>
        <w:t xml:space="preserve">the </w:t>
      </w:r>
      <w:r w:rsidR="00642E74">
        <w:rPr>
          <w:rFonts w:cstheme="minorHAnsi"/>
          <w:b w:val="0"/>
          <w:i w:val="0"/>
          <w:iCs w:val="0"/>
          <w:color w:val="auto"/>
          <w:kern w:val="0"/>
          <w:sz w:val="22"/>
          <w:szCs w:val="22"/>
          <w:lang w:val="en-US" w:eastAsia="en-US"/>
        </w:rPr>
        <w:t xml:space="preserve">next step of this activity, the activities, </w:t>
      </w:r>
      <w:r w:rsidR="00642E74" w:rsidRPr="002A2B91">
        <w:rPr>
          <w:rFonts w:cstheme="minorHAnsi"/>
          <w:b w:val="0"/>
          <w:i w:val="0"/>
          <w:iCs w:val="0"/>
          <w:color w:val="auto"/>
          <w:kern w:val="0"/>
          <w:sz w:val="22"/>
          <w:szCs w:val="22"/>
          <w:lang w:val="en-US" w:eastAsia="en-US"/>
        </w:rPr>
        <w:t>facilitat</w:t>
      </w:r>
      <w:r w:rsidR="00642E74">
        <w:rPr>
          <w:rFonts w:cstheme="minorHAnsi"/>
          <w:b w:val="0"/>
          <w:i w:val="0"/>
          <w:iCs w:val="0"/>
          <w:color w:val="auto"/>
          <w:kern w:val="0"/>
          <w:sz w:val="22"/>
          <w:szCs w:val="22"/>
          <w:lang w:val="en-US" w:eastAsia="en-US"/>
        </w:rPr>
        <w:t>ing</w:t>
      </w:r>
      <w:r w:rsidR="00642E74" w:rsidRPr="002A2B91">
        <w:rPr>
          <w:rFonts w:cstheme="minorHAnsi"/>
          <w:b w:val="0"/>
          <w:i w:val="0"/>
          <w:iCs w:val="0"/>
          <w:color w:val="auto"/>
          <w:kern w:val="0"/>
          <w:sz w:val="22"/>
          <w:szCs w:val="22"/>
          <w:lang w:val="en-US" w:eastAsia="en-US"/>
        </w:rPr>
        <w:t xml:space="preserve"> the introduction of these credit products</w:t>
      </w:r>
      <w:r w:rsidR="00642E74">
        <w:rPr>
          <w:rFonts w:cstheme="minorHAnsi"/>
          <w:b w:val="0"/>
          <w:i w:val="0"/>
          <w:iCs w:val="0"/>
          <w:color w:val="auto"/>
          <w:kern w:val="0"/>
          <w:sz w:val="22"/>
          <w:szCs w:val="22"/>
          <w:lang w:val="en-US" w:eastAsia="en-US"/>
        </w:rPr>
        <w:t xml:space="preserve"> at EDB and the </w:t>
      </w:r>
      <w:r w:rsidR="00B52D2F">
        <w:rPr>
          <w:rFonts w:cstheme="minorHAnsi"/>
          <w:b w:val="0"/>
          <w:i w:val="0"/>
          <w:iCs w:val="0"/>
          <w:color w:val="auto"/>
          <w:kern w:val="0"/>
          <w:sz w:val="22"/>
          <w:szCs w:val="22"/>
          <w:lang w:val="en-US" w:eastAsia="en-US"/>
        </w:rPr>
        <w:t>second-tier</w:t>
      </w:r>
      <w:r w:rsidR="00642E74">
        <w:rPr>
          <w:rFonts w:cstheme="minorHAnsi"/>
          <w:b w:val="0"/>
          <w:i w:val="0"/>
          <w:iCs w:val="0"/>
          <w:color w:val="auto"/>
          <w:kern w:val="0"/>
          <w:sz w:val="22"/>
          <w:szCs w:val="22"/>
          <w:lang w:val="en-US" w:eastAsia="en-US"/>
        </w:rPr>
        <w:t xml:space="preserve"> banks</w:t>
      </w:r>
      <w:r w:rsidR="00345EA5">
        <w:rPr>
          <w:rFonts w:cstheme="minorHAnsi"/>
          <w:b w:val="0"/>
          <w:i w:val="0"/>
          <w:iCs w:val="0"/>
          <w:color w:val="auto"/>
          <w:kern w:val="0"/>
          <w:sz w:val="22"/>
          <w:szCs w:val="22"/>
          <w:lang w:val="en-US" w:eastAsia="en-US"/>
        </w:rPr>
        <w:t xml:space="preserve"> and the trainings of staff of the second-tier banks to ensure the successful deployment of credit </w:t>
      </w:r>
      <w:r w:rsidR="00B93CE1">
        <w:rPr>
          <w:rFonts w:cstheme="minorHAnsi"/>
          <w:b w:val="0"/>
          <w:i w:val="0"/>
          <w:iCs w:val="0"/>
          <w:color w:val="auto"/>
          <w:kern w:val="0"/>
          <w:sz w:val="22"/>
          <w:szCs w:val="22"/>
          <w:lang w:val="en-US" w:eastAsia="en-US"/>
        </w:rPr>
        <w:t>products are</w:t>
      </w:r>
      <w:r w:rsidR="00642E74">
        <w:rPr>
          <w:rFonts w:cstheme="minorHAnsi"/>
          <w:b w:val="0"/>
          <w:i w:val="0"/>
          <w:iCs w:val="0"/>
          <w:color w:val="auto"/>
          <w:kern w:val="0"/>
          <w:sz w:val="22"/>
          <w:szCs w:val="22"/>
          <w:lang w:val="en-US" w:eastAsia="en-US"/>
        </w:rPr>
        <w:t xml:space="preserve"> planned.</w:t>
      </w:r>
    </w:p>
    <w:p w14:paraId="70FA28CA" w14:textId="69E08962" w:rsidR="00747D53" w:rsidRDefault="005C6B47" w:rsidP="00747D53">
      <w:pPr>
        <w:pStyle w:val="a"/>
        <w:numPr>
          <w:ilvl w:val="0"/>
          <w:numId w:val="14"/>
        </w:numPr>
        <w:spacing w:before="0" w:after="160" w:line="240" w:lineRule="auto"/>
        <w:jc w:val="both"/>
        <w:rPr>
          <w:rFonts w:cstheme="minorHAnsi"/>
          <w:b w:val="0"/>
          <w:i w:val="0"/>
          <w:iCs w:val="0"/>
          <w:color w:val="auto"/>
          <w:kern w:val="0"/>
          <w:sz w:val="22"/>
          <w:szCs w:val="22"/>
          <w:lang w:val="en-US" w:eastAsia="en-US"/>
        </w:rPr>
      </w:pPr>
      <w:r>
        <w:rPr>
          <w:rFonts w:cstheme="minorHAnsi"/>
          <w:b w:val="0"/>
          <w:i w:val="0"/>
          <w:iCs w:val="0"/>
          <w:color w:val="auto"/>
          <w:kern w:val="0"/>
          <w:sz w:val="22"/>
          <w:szCs w:val="22"/>
          <w:lang w:val="en-US" w:eastAsia="en-US"/>
        </w:rPr>
        <w:t>The activity on the identification of bankable projects to be financed by EDB and the development of feasibility studies is planned in 2020</w:t>
      </w:r>
      <w:r w:rsidR="002A2B91">
        <w:rPr>
          <w:rFonts w:cstheme="minorHAnsi"/>
          <w:b w:val="0"/>
          <w:i w:val="0"/>
          <w:iCs w:val="0"/>
          <w:color w:val="auto"/>
          <w:kern w:val="0"/>
          <w:sz w:val="22"/>
          <w:szCs w:val="22"/>
          <w:lang w:val="en-US" w:eastAsia="en-US"/>
        </w:rPr>
        <w:t>;</w:t>
      </w:r>
    </w:p>
    <w:p w14:paraId="660372DB" w14:textId="1587476B" w:rsidR="00747D53" w:rsidRDefault="007569C8" w:rsidP="00747D53">
      <w:pPr>
        <w:pStyle w:val="a"/>
        <w:numPr>
          <w:ilvl w:val="0"/>
          <w:numId w:val="14"/>
        </w:numPr>
        <w:spacing w:before="0" w:after="160" w:line="240" w:lineRule="auto"/>
        <w:jc w:val="both"/>
        <w:rPr>
          <w:rFonts w:cstheme="minorHAnsi"/>
          <w:b w:val="0"/>
          <w:i w:val="0"/>
          <w:iCs w:val="0"/>
          <w:color w:val="auto"/>
          <w:kern w:val="0"/>
          <w:sz w:val="22"/>
          <w:szCs w:val="22"/>
          <w:lang w:val="en-US" w:eastAsia="en-US"/>
        </w:rPr>
      </w:pPr>
      <w:r>
        <w:rPr>
          <w:rFonts w:cstheme="minorHAnsi"/>
          <w:b w:val="0"/>
          <w:i w:val="0"/>
          <w:iCs w:val="0"/>
          <w:color w:val="auto"/>
          <w:kern w:val="0"/>
          <w:sz w:val="22"/>
          <w:szCs w:val="22"/>
          <w:lang w:val="en-US" w:eastAsia="en-US"/>
        </w:rPr>
        <w:t>Development with EDB of knowledge products, like analytical and technical studies, surveys on issues of key significance for EDB clients</w:t>
      </w:r>
      <w:r w:rsidR="00113F74">
        <w:rPr>
          <w:rFonts w:cstheme="minorHAnsi"/>
          <w:b w:val="0"/>
          <w:i w:val="0"/>
          <w:iCs w:val="0"/>
          <w:color w:val="auto"/>
          <w:kern w:val="0"/>
          <w:sz w:val="22"/>
          <w:szCs w:val="22"/>
          <w:lang w:val="en-US" w:eastAsia="en-US"/>
        </w:rPr>
        <w:t xml:space="preserve"> and </w:t>
      </w:r>
      <w:r>
        <w:rPr>
          <w:rFonts w:cstheme="minorHAnsi"/>
          <w:b w:val="0"/>
          <w:i w:val="0"/>
          <w:iCs w:val="0"/>
          <w:color w:val="auto"/>
          <w:kern w:val="0"/>
          <w:sz w:val="22"/>
          <w:szCs w:val="22"/>
          <w:lang w:val="en-US" w:eastAsia="en-US"/>
        </w:rPr>
        <w:t>UNDP countries</w:t>
      </w:r>
      <w:r w:rsidR="00113F74">
        <w:rPr>
          <w:rFonts w:cstheme="minorHAnsi"/>
          <w:b w:val="0"/>
          <w:i w:val="0"/>
          <w:iCs w:val="0"/>
          <w:color w:val="auto"/>
          <w:kern w:val="0"/>
          <w:sz w:val="22"/>
          <w:szCs w:val="22"/>
          <w:lang w:val="en-US" w:eastAsia="en-US"/>
        </w:rPr>
        <w:t>, participating in the project</w:t>
      </w:r>
      <w:r>
        <w:rPr>
          <w:rFonts w:cstheme="minorHAnsi"/>
          <w:b w:val="0"/>
          <w:i w:val="0"/>
          <w:iCs w:val="0"/>
          <w:color w:val="auto"/>
          <w:kern w:val="0"/>
          <w:sz w:val="22"/>
          <w:szCs w:val="22"/>
          <w:lang w:val="en-US" w:eastAsia="en-US"/>
        </w:rPr>
        <w:t xml:space="preserve">. </w:t>
      </w:r>
    </w:p>
    <w:p w14:paraId="68096722" w14:textId="15DD7C5C" w:rsidR="001A5BA9" w:rsidRDefault="00EA02F4" w:rsidP="00F015CC">
      <w:pPr>
        <w:pStyle w:val="a"/>
        <w:spacing w:before="0" w:after="160" w:line="240" w:lineRule="auto"/>
        <w:jc w:val="both"/>
        <w:rPr>
          <w:rFonts w:cstheme="minorHAnsi"/>
          <w:b w:val="0"/>
          <w:i w:val="0"/>
          <w:iCs w:val="0"/>
          <w:color w:val="auto"/>
          <w:kern w:val="0"/>
          <w:sz w:val="22"/>
          <w:szCs w:val="22"/>
          <w:lang w:val="en-US" w:eastAsia="en-US"/>
        </w:rPr>
      </w:pPr>
      <w:r w:rsidRPr="00EA02F4">
        <w:rPr>
          <w:rFonts w:cstheme="minorHAnsi"/>
          <w:b w:val="0"/>
          <w:i w:val="0"/>
          <w:iCs w:val="0"/>
          <w:color w:val="auto"/>
          <w:kern w:val="0"/>
          <w:sz w:val="22"/>
          <w:szCs w:val="22"/>
          <w:lang w:val="en-US" w:eastAsia="en-US"/>
        </w:rPr>
        <w:t>In general, it is planned to implement comprehensive measures to achieve all the objectives of the project, indicators and efficient use of available resources</w:t>
      </w:r>
      <w:r w:rsidR="00AC4921" w:rsidRPr="00AC4921">
        <w:rPr>
          <w:rFonts w:cstheme="minorHAnsi"/>
          <w:b w:val="0"/>
          <w:i w:val="0"/>
          <w:iCs w:val="0"/>
          <w:color w:val="auto"/>
          <w:kern w:val="0"/>
          <w:sz w:val="22"/>
          <w:szCs w:val="22"/>
          <w:lang w:val="en-US" w:eastAsia="en-US"/>
        </w:rPr>
        <w:t xml:space="preserve"> </w:t>
      </w:r>
      <w:r w:rsidR="00AC4921" w:rsidRPr="00EA02F4">
        <w:rPr>
          <w:rFonts w:cstheme="minorHAnsi"/>
          <w:b w:val="0"/>
          <w:i w:val="0"/>
          <w:iCs w:val="0"/>
          <w:color w:val="auto"/>
          <w:kern w:val="0"/>
          <w:sz w:val="22"/>
          <w:szCs w:val="22"/>
          <w:lang w:val="en-US" w:eastAsia="en-US"/>
        </w:rPr>
        <w:t>before the completion of the project</w:t>
      </w:r>
      <w:r w:rsidRPr="00EA02F4">
        <w:rPr>
          <w:rFonts w:cstheme="minorHAnsi"/>
          <w:b w:val="0"/>
          <w:i w:val="0"/>
          <w:iCs w:val="0"/>
          <w:color w:val="auto"/>
          <w:kern w:val="0"/>
          <w:sz w:val="22"/>
          <w:szCs w:val="22"/>
          <w:lang w:val="en-US" w:eastAsia="en-US"/>
        </w:rPr>
        <w:t>.</w:t>
      </w:r>
    </w:p>
    <w:p w14:paraId="6CF8A0A6" w14:textId="77777777" w:rsidR="001A5BA9" w:rsidRPr="00A028D1" w:rsidRDefault="001A5BA9" w:rsidP="00F015CC">
      <w:pPr>
        <w:pStyle w:val="a"/>
        <w:spacing w:before="0" w:after="160" w:line="240" w:lineRule="auto"/>
        <w:jc w:val="both"/>
        <w:rPr>
          <w:rFonts w:cstheme="minorHAnsi"/>
          <w:b w:val="0"/>
          <w:i w:val="0"/>
          <w:iCs w:val="0"/>
          <w:color w:val="auto"/>
          <w:kern w:val="0"/>
          <w:sz w:val="22"/>
          <w:szCs w:val="22"/>
          <w:lang w:val="en-US" w:eastAsia="en-US"/>
        </w:rPr>
      </w:pPr>
    </w:p>
    <w:p w14:paraId="11CB349A" w14:textId="77777777" w:rsidR="00C45BCC" w:rsidRPr="00F015CC" w:rsidRDefault="00542674" w:rsidP="00F015CC">
      <w:pPr>
        <w:pStyle w:val="a"/>
        <w:spacing w:before="0" w:after="160" w:line="240" w:lineRule="auto"/>
        <w:jc w:val="both"/>
        <w:rPr>
          <w:rFonts w:cstheme="minorHAnsi"/>
          <w:sz w:val="22"/>
          <w:szCs w:val="22"/>
          <w:lang w:val="en-US"/>
        </w:rPr>
      </w:pPr>
      <w:r w:rsidRPr="00F015CC">
        <w:rPr>
          <w:rFonts w:cstheme="minorHAnsi"/>
          <w:sz w:val="22"/>
          <w:szCs w:val="22"/>
          <w:lang w:val="en-US"/>
        </w:rPr>
        <w:t>5</w:t>
      </w:r>
      <w:r w:rsidR="00C45BCC" w:rsidRPr="00F015CC">
        <w:rPr>
          <w:rFonts w:cstheme="minorHAnsi"/>
          <w:sz w:val="22"/>
          <w:szCs w:val="22"/>
          <w:lang w:val="en-US"/>
        </w:rPr>
        <w:t xml:space="preserve">. </w:t>
      </w:r>
      <w:r w:rsidR="00DB0C07" w:rsidRPr="00F015CC">
        <w:rPr>
          <w:rFonts w:cstheme="minorHAnsi"/>
          <w:sz w:val="22"/>
          <w:szCs w:val="22"/>
          <w:lang w:val="en-US"/>
        </w:rPr>
        <w:t>PARTNERSHIP</w:t>
      </w:r>
      <w:bookmarkEnd w:id="6"/>
      <w:r w:rsidR="00DB0C07" w:rsidRPr="00F015CC">
        <w:rPr>
          <w:rFonts w:cstheme="minorHAnsi"/>
          <w:sz w:val="22"/>
          <w:szCs w:val="22"/>
          <w:lang w:val="en-US"/>
        </w:rPr>
        <w:t>S</w:t>
      </w:r>
    </w:p>
    <w:p w14:paraId="110BFA9B" w14:textId="4AB90B5E" w:rsidR="000D1071" w:rsidRPr="00F015CC" w:rsidRDefault="002A2B91" w:rsidP="002A2B91">
      <w:pPr>
        <w:spacing w:line="240" w:lineRule="auto"/>
        <w:jc w:val="both"/>
        <w:rPr>
          <w:rFonts w:cstheme="minorHAnsi"/>
        </w:rPr>
      </w:pPr>
      <w:r>
        <w:rPr>
          <w:rFonts w:cstheme="minorHAnsi"/>
        </w:rPr>
        <w:t xml:space="preserve">UNDP has managed to establish partnerships at all levels. </w:t>
      </w:r>
      <w:r w:rsidR="000D1071" w:rsidRPr="00F015CC">
        <w:rPr>
          <w:rFonts w:cstheme="minorHAnsi"/>
        </w:rPr>
        <w:t xml:space="preserve">To strengthen the sustainability of the project, partnerships were </w:t>
      </w:r>
      <w:r w:rsidR="00EC40A8" w:rsidRPr="00F015CC">
        <w:rPr>
          <w:rFonts w:cstheme="minorHAnsi"/>
        </w:rPr>
        <w:t xml:space="preserve">built </w:t>
      </w:r>
      <w:r w:rsidR="00A028D1">
        <w:rPr>
          <w:rFonts w:cstheme="minorHAnsi"/>
        </w:rPr>
        <w:t xml:space="preserve"> and regular consultations at all levels are conducted </w:t>
      </w:r>
      <w:r w:rsidR="000D1071" w:rsidRPr="00F015CC">
        <w:rPr>
          <w:rFonts w:cstheme="minorHAnsi"/>
        </w:rPr>
        <w:t xml:space="preserve">with the Office of the President of the Kyrgyz Republic, Government Office of the Kyrgyz Republic, Parliament of the Kyrgyz Republic, the Ministry of Economy, </w:t>
      </w:r>
      <w:r w:rsidR="00A028D1">
        <w:rPr>
          <w:rFonts w:cstheme="minorHAnsi"/>
        </w:rPr>
        <w:t xml:space="preserve">EDB, </w:t>
      </w:r>
      <w:r w:rsidR="000D1071" w:rsidRPr="00F015CC">
        <w:rPr>
          <w:rFonts w:cstheme="minorHAnsi"/>
        </w:rPr>
        <w:t>RKDF, local banks, business associations at the central and regional levels, as well as at various public-private partnership sites.</w:t>
      </w:r>
    </w:p>
    <w:p w14:paraId="1399D631" w14:textId="2AB03667" w:rsidR="00773131" w:rsidRPr="00F015CC" w:rsidRDefault="00773131" w:rsidP="002A2B91">
      <w:pPr>
        <w:pStyle w:val="a"/>
        <w:spacing w:before="0" w:after="160" w:line="240" w:lineRule="auto"/>
        <w:jc w:val="both"/>
        <w:rPr>
          <w:rFonts w:cstheme="minorHAnsi"/>
          <w:b w:val="0"/>
          <w:i w:val="0"/>
          <w:iCs w:val="0"/>
          <w:color w:val="auto"/>
          <w:kern w:val="0"/>
          <w:sz w:val="22"/>
          <w:szCs w:val="22"/>
          <w:lang w:val="en-US" w:eastAsia="en-US"/>
        </w:rPr>
      </w:pPr>
      <w:bookmarkStart w:id="7" w:name="_Toc503973947"/>
      <w:r w:rsidRPr="00F015CC">
        <w:rPr>
          <w:rFonts w:cstheme="minorHAnsi"/>
          <w:b w:val="0"/>
          <w:i w:val="0"/>
          <w:iCs w:val="0"/>
          <w:color w:val="auto"/>
          <w:kern w:val="0"/>
          <w:sz w:val="22"/>
          <w:szCs w:val="22"/>
          <w:lang w:val="en-US" w:eastAsia="en-US"/>
        </w:rPr>
        <w:t>The Project activities were integrated into the medium and long-term strategies and programs of the Government of the Kyrgyz Republic</w:t>
      </w:r>
      <w:r w:rsidR="002A2B91">
        <w:rPr>
          <w:rFonts w:cstheme="minorHAnsi"/>
          <w:b w:val="0"/>
          <w:i w:val="0"/>
          <w:iCs w:val="0"/>
          <w:color w:val="auto"/>
          <w:kern w:val="0"/>
          <w:sz w:val="22"/>
          <w:szCs w:val="22"/>
          <w:lang w:val="en-US" w:eastAsia="en-US"/>
        </w:rPr>
        <w:t xml:space="preserve"> with an aim to scale up nationwide.</w:t>
      </w:r>
    </w:p>
    <w:p w14:paraId="0FBACD07" w14:textId="77777777" w:rsidR="00773131" w:rsidRPr="00F015CC" w:rsidRDefault="00773131" w:rsidP="00F015CC">
      <w:pPr>
        <w:pStyle w:val="a"/>
        <w:spacing w:before="0" w:after="160" w:line="240" w:lineRule="auto"/>
        <w:rPr>
          <w:rFonts w:cstheme="minorHAnsi"/>
          <w:b w:val="0"/>
          <w:i w:val="0"/>
          <w:iCs w:val="0"/>
          <w:color w:val="auto"/>
          <w:kern w:val="0"/>
          <w:sz w:val="22"/>
          <w:szCs w:val="22"/>
          <w:lang w:val="en-US" w:eastAsia="en-US"/>
        </w:rPr>
      </w:pPr>
    </w:p>
    <w:p w14:paraId="0C583401" w14:textId="77777777" w:rsidR="00060733" w:rsidRPr="00F015CC" w:rsidRDefault="00542674" w:rsidP="00F015CC">
      <w:pPr>
        <w:pStyle w:val="a"/>
        <w:spacing w:before="0" w:after="160" w:line="240" w:lineRule="auto"/>
        <w:rPr>
          <w:rFonts w:cstheme="minorHAnsi"/>
          <w:sz w:val="22"/>
          <w:szCs w:val="22"/>
          <w:lang w:val="en-US"/>
        </w:rPr>
      </w:pPr>
      <w:r w:rsidRPr="00F015CC">
        <w:rPr>
          <w:rFonts w:cstheme="minorHAnsi"/>
          <w:sz w:val="22"/>
          <w:szCs w:val="22"/>
          <w:lang w:val="en-US"/>
        </w:rPr>
        <w:t>6</w:t>
      </w:r>
      <w:r w:rsidR="00060733" w:rsidRPr="00F015CC">
        <w:rPr>
          <w:rFonts w:cstheme="minorHAnsi"/>
          <w:sz w:val="22"/>
          <w:szCs w:val="22"/>
          <w:lang w:val="en-US"/>
        </w:rPr>
        <w:t xml:space="preserve">. </w:t>
      </w:r>
      <w:r w:rsidR="00814736" w:rsidRPr="00F015CC">
        <w:rPr>
          <w:rFonts w:cstheme="minorHAnsi"/>
          <w:sz w:val="22"/>
          <w:szCs w:val="22"/>
          <w:lang w:val="en-US"/>
        </w:rPr>
        <w:t>PARTNERSHIP WITH THE RUSSIAN FEDERATION</w:t>
      </w:r>
      <w:bookmarkEnd w:id="7"/>
    </w:p>
    <w:p w14:paraId="62EDAC94" w14:textId="6CD80233" w:rsidR="007A4E48" w:rsidRDefault="007A4E48" w:rsidP="00F015CC">
      <w:pPr>
        <w:spacing w:line="240" w:lineRule="auto"/>
        <w:jc w:val="both"/>
        <w:rPr>
          <w:rFonts w:cstheme="minorHAnsi"/>
        </w:rPr>
      </w:pPr>
      <w:r w:rsidRPr="007A4E48">
        <w:rPr>
          <w:rFonts w:cstheme="minorHAnsi"/>
        </w:rPr>
        <w:t>The implementation of both components of the project is considered as one of the key areas of partnership with the Russian Federation through the RKFR, EDB, Russia- and UNDP Trust Fund.</w:t>
      </w:r>
    </w:p>
    <w:p w14:paraId="5F126419" w14:textId="58BED469" w:rsidR="004647FE" w:rsidRDefault="004647FE" w:rsidP="00F015CC">
      <w:pPr>
        <w:spacing w:line="240" w:lineRule="auto"/>
        <w:jc w:val="both"/>
        <w:rPr>
          <w:rFonts w:cstheme="minorHAnsi"/>
        </w:rPr>
      </w:pPr>
      <w:r>
        <w:rPr>
          <w:rFonts w:cstheme="minorHAnsi"/>
        </w:rPr>
        <w:t xml:space="preserve">Under </w:t>
      </w:r>
      <w:r w:rsidR="00D375EC">
        <w:rPr>
          <w:rFonts w:cstheme="minorHAnsi"/>
        </w:rPr>
        <w:t>Activity 1, the training expert from the Russian Federation has been attracted to deliver the EMPRETEC training workshop.</w:t>
      </w:r>
      <w:r w:rsidR="004D29F7">
        <w:rPr>
          <w:rFonts w:cstheme="minorHAnsi"/>
        </w:rPr>
        <w:t xml:space="preserve"> </w:t>
      </w:r>
      <w:r>
        <w:rPr>
          <w:rFonts w:cstheme="minorHAnsi"/>
        </w:rPr>
        <w:t xml:space="preserve"> </w:t>
      </w:r>
    </w:p>
    <w:p w14:paraId="707F4C1F" w14:textId="4ED9CC4E" w:rsidR="00381708" w:rsidRDefault="00304AE3" w:rsidP="00F015CC">
      <w:pPr>
        <w:spacing w:line="240" w:lineRule="auto"/>
        <w:jc w:val="both"/>
        <w:rPr>
          <w:rFonts w:cstheme="minorHAnsi"/>
        </w:rPr>
      </w:pPr>
      <w:r>
        <w:rPr>
          <w:rFonts w:cstheme="minorHAnsi"/>
        </w:rPr>
        <w:t xml:space="preserve">Within the frame of </w:t>
      </w:r>
      <w:r w:rsidR="001950DB">
        <w:rPr>
          <w:rFonts w:cstheme="minorHAnsi"/>
        </w:rPr>
        <w:t xml:space="preserve">the </w:t>
      </w:r>
      <w:r>
        <w:rPr>
          <w:rFonts w:cstheme="minorHAnsi"/>
        </w:rPr>
        <w:t xml:space="preserve">component with </w:t>
      </w:r>
      <w:r w:rsidR="004647FE">
        <w:rPr>
          <w:rFonts w:cstheme="minorHAnsi"/>
        </w:rPr>
        <w:t>EDB</w:t>
      </w:r>
      <w:r>
        <w:rPr>
          <w:rFonts w:cstheme="minorHAnsi"/>
        </w:rPr>
        <w:t xml:space="preserve">, 2 consultants from the Russian Federation were </w:t>
      </w:r>
      <w:r w:rsidR="00756357">
        <w:rPr>
          <w:rFonts w:cstheme="minorHAnsi"/>
        </w:rPr>
        <w:t>attracted</w:t>
      </w:r>
      <w:r>
        <w:rPr>
          <w:rFonts w:cstheme="minorHAnsi"/>
        </w:rPr>
        <w:t>: one consultant was recruited for the development of</w:t>
      </w:r>
      <w:r w:rsidRPr="00304AE3">
        <w:rPr>
          <w:rFonts w:cstheme="minorHAnsi"/>
        </w:rPr>
        <w:t xml:space="preserve"> </w:t>
      </w:r>
      <w:r w:rsidR="001950DB">
        <w:rPr>
          <w:rFonts w:cstheme="minorHAnsi"/>
        </w:rPr>
        <w:t xml:space="preserve">the </w:t>
      </w:r>
      <w:r>
        <w:rPr>
          <w:rFonts w:cstheme="minorHAnsi"/>
        </w:rPr>
        <w:t xml:space="preserve">UNDP-EDB </w:t>
      </w:r>
      <w:r w:rsidRPr="00295E98">
        <w:rPr>
          <w:rFonts w:cstheme="minorHAnsi"/>
        </w:rPr>
        <w:t>co-financing mechanism</w:t>
      </w:r>
      <w:r>
        <w:rPr>
          <w:rFonts w:cstheme="minorHAnsi"/>
        </w:rPr>
        <w:t>, and the second consultant was recruited</w:t>
      </w:r>
      <w:r w:rsidR="004647FE">
        <w:rPr>
          <w:rFonts w:cstheme="minorHAnsi"/>
        </w:rPr>
        <w:t xml:space="preserve"> to develop new credit products for EDB and second-tier banks. </w:t>
      </w:r>
      <w:r>
        <w:rPr>
          <w:rFonts w:cstheme="minorHAnsi"/>
        </w:rPr>
        <w:t xml:space="preserve"> </w:t>
      </w:r>
    </w:p>
    <w:p w14:paraId="7A730AB9" w14:textId="77777777" w:rsidR="00E72991" w:rsidRPr="00F015CC" w:rsidRDefault="00E72991" w:rsidP="00F015CC">
      <w:pPr>
        <w:spacing w:line="240" w:lineRule="auto"/>
        <w:jc w:val="both"/>
        <w:rPr>
          <w:rFonts w:cstheme="minorHAnsi"/>
        </w:rPr>
      </w:pPr>
    </w:p>
    <w:p w14:paraId="5E98431C" w14:textId="77777777" w:rsidR="004B78CC" w:rsidRPr="00F015CC" w:rsidRDefault="00542674" w:rsidP="00F015CC">
      <w:pPr>
        <w:pStyle w:val="a"/>
        <w:spacing w:before="0" w:after="160" w:line="240" w:lineRule="auto"/>
        <w:rPr>
          <w:rFonts w:cstheme="minorHAnsi"/>
          <w:sz w:val="22"/>
          <w:szCs w:val="22"/>
          <w:lang w:val="en-US"/>
        </w:rPr>
      </w:pPr>
      <w:bookmarkStart w:id="8" w:name="_Toc503973948"/>
      <w:r w:rsidRPr="00F015CC">
        <w:rPr>
          <w:rFonts w:cstheme="minorHAnsi"/>
          <w:sz w:val="22"/>
          <w:szCs w:val="22"/>
          <w:lang w:val="en-US"/>
        </w:rPr>
        <w:t>7</w:t>
      </w:r>
      <w:r w:rsidR="004B78CC" w:rsidRPr="00F015CC">
        <w:rPr>
          <w:rFonts w:cstheme="minorHAnsi"/>
          <w:sz w:val="22"/>
          <w:szCs w:val="22"/>
          <w:lang w:val="en-US"/>
        </w:rPr>
        <w:t xml:space="preserve">. </w:t>
      </w:r>
      <w:r w:rsidR="00AD116A" w:rsidRPr="00F015CC">
        <w:rPr>
          <w:rFonts w:cstheme="minorHAnsi"/>
          <w:sz w:val="22"/>
          <w:szCs w:val="22"/>
          <w:lang w:val="en-US"/>
        </w:rPr>
        <w:t xml:space="preserve">COMMUNICATION AND </w:t>
      </w:r>
      <w:r w:rsidR="000479D4" w:rsidRPr="00F015CC">
        <w:rPr>
          <w:rFonts w:cstheme="minorHAnsi"/>
          <w:sz w:val="22"/>
          <w:szCs w:val="22"/>
          <w:lang w:val="en-US"/>
        </w:rPr>
        <w:t>INFORM</w:t>
      </w:r>
      <w:bookmarkEnd w:id="8"/>
      <w:r w:rsidR="000479D4" w:rsidRPr="00F015CC">
        <w:rPr>
          <w:rFonts w:cstheme="minorHAnsi"/>
          <w:sz w:val="22"/>
          <w:szCs w:val="22"/>
          <w:lang w:val="en-US"/>
        </w:rPr>
        <w:t>ATION</w:t>
      </w:r>
    </w:p>
    <w:p w14:paraId="500EDF27" w14:textId="64625396" w:rsidR="0031634B" w:rsidRDefault="004A57C8" w:rsidP="00F015CC">
      <w:pPr>
        <w:spacing w:line="240" w:lineRule="auto"/>
        <w:jc w:val="both"/>
        <w:rPr>
          <w:rFonts w:cstheme="minorHAnsi"/>
        </w:rPr>
      </w:pPr>
      <w:r w:rsidRPr="00F015CC">
        <w:rPr>
          <w:rFonts w:cstheme="minorHAnsi"/>
        </w:rPr>
        <w:t xml:space="preserve">The press </w:t>
      </w:r>
      <w:r w:rsidR="00F84589" w:rsidRPr="00F015CC">
        <w:rPr>
          <w:rFonts w:cstheme="minorHAnsi"/>
        </w:rPr>
        <w:t xml:space="preserve">releases </w:t>
      </w:r>
      <w:r w:rsidR="003329B0">
        <w:rPr>
          <w:rFonts w:cstheme="minorHAnsi"/>
        </w:rPr>
        <w:t>for</w:t>
      </w:r>
      <w:r w:rsidR="00F84589" w:rsidRPr="00F015CC">
        <w:rPr>
          <w:rFonts w:cstheme="minorHAnsi"/>
        </w:rPr>
        <w:t xml:space="preserve"> all events</w:t>
      </w:r>
      <w:r w:rsidRPr="00F015CC">
        <w:rPr>
          <w:rFonts w:cstheme="minorHAnsi"/>
        </w:rPr>
        <w:t xml:space="preserve"> contained information for the private sector, including data on th</w:t>
      </w:r>
      <w:r w:rsidR="00F84589" w:rsidRPr="00F015CC">
        <w:rPr>
          <w:rFonts w:cstheme="minorHAnsi"/>
        </w:rPr>
        <w:t xml:space="preserve">e procedures on obtaining technical </w:t>
      </w:r>
      <w:r w:rsidR="001A5BA9">
        <w:rPr>
          <w:rFonts w:cstheme="minorHAnsi"/>
        </w:rPr>
        <w:t>support on the feasibility study</w:t>
      </w:r>
      <w:r w:rsidR="00F84589" w:rsidRPr="00F015CC">
        <w:rPr>
          <w:rFonts w:cstheme="minorHAnsi"/>
        </w:rPr>
        <w:t xml:space="preserve"> development</w:t>
      </w:r>
      <w:r w:rsidRPr="00F015CC">
        <w:rPr>
          <w:rFonts w:cstheme="minorHAnsi"/>
        </w:rPr>
        <w:t xml:space="preserve">. </w:t>
      </w:r>
      <w:r w:rsidR="001A5BA9">
        <w:rPr>
          <w:rFonts w:cstheme="minorHAnsi"/>
        </w:rPr>
        <w:t>Also, t</w:t>
      </w:r>
      <w:r w:rsidRPr="00F015CC">
        <w:rPr>
          <w:rFonts w:cstheme="minorHAnsi"/>
        </w:rPr>
        <w:t>hey included full information about the</w:t>
      </w:r>
      <w:r w:rsidR="00F84589" w:rsidRPr="00F015CC">
        <w:rPr>
          <w:rFonts w:cstheme="minorHAnsi"/>
        </w:rPr>
        <w:t xml:space="preserve"> goals and objectives of the project, as well as issues related to the application</w:t>
      </w:r>
      <w:r w:rsidR="0031634B">
        <w:rPr>
          <w:rFonts w:cstheme="minorHAnsi"/>
        </w:rPr>
        <w:t xml:space="preserve"> submission</w:t>
      </w:r>
      <w:r w:rsidR="00F84589" w:rsidRPr="00F015CC">
        <w:rPr>
          <w:rFonts w:cstheme="minorHAnsi"/>
        </w:rPr>
        <w:t>, selection criteria</w:t>
      </w:r>
      <w:r w:rsidR="0031634B">
        <w:rPr>
          <w:rFonts w:cstheme="minorHAnsi"/>
        </w:rPr>
        <w:t xml:space="preserve"> and procedures</w:t>
      </w:r>
      <w:r w:rsidR="00F84589" w:rsidRPr="00F015CC">
        <w:rPr>
          <w:rFonts w:cstheme="minorHAnsi"/>
        </w:rPr>
        <w:t xml:space="preserve">. Press-releases circulated </w:t>
      </w:r>
      <w:r w:rsidRPr="00F015CC">
        <w:rPr>
          <w:rFonts w:cstheme="minorHAnsi"/>
        </w:rPr>
        <w:t>throughout the media to the maximum extent</w:t>
      </w:r>
      <w:r w:rsidR="00F84589" w:rsidRPr="00F015CC">
        <w:rPr>
          <w:rFonts w:cstheme="minorHAnsi"/>
        </w:rPr>
        <w:t>.</w:t>
      </w:r>
      <w:r w:rsidR="00C3513F">
        <w:rPr>
          <w:rFonts w:cstheme="minorHAnsi"/>
        </w:rPr>
        <w:t xml:space="preserve"> </w:t>
      </w:r>
      <w:r w:rsidR="001653A8" w:rsidRPr="00F015CC">
        <w:rPr>
          <w:rFonts w:cstheme="minorHAnsi"/>
        </w:rPr>
        <w:t>Partners also gave interviews to national information channels.</w:t>
      </w:r>
      <w:r w:rsidR="0090599A" w:rsidRPr="0090599A">
        <w:rPr>
          <w:rFonts w:cstheme="minorHAnsi"/>
        </w:rPr>
        <w:t xml:space="preserve"> </w:t>
      </w:r>
      <w:r w:rsidR="0090599A">
        <w:rPr>
          <w:rFonts w:cstheme="minorHAnsi"/>
        </w:rPr>
        <w:t xml:space="preserve">The </w:t>
      </w:r>
      <w:r w:rsidR="00DE084B">
        <w:rPr>
          <w:rFonts w:cstheme="minorHAnsi"/>
        </w:rPr>
        <w:t xml:space="preserve">press clipping </w:t>
      </w:r>
      <w:r w:rsidR="005206D4" w:rsidRPr="00F015CC">
        <w:rPr>
          <w:rFonts w:cstheme="minorHAnsi"/>
          <w:color w:val="000000"/>
        </w:rPr>
        <w:t>with links to main publications</w:t>
      </w:r>
      <w:r w:rsidR="005206D4">
        <w:rPr>
          <w:rFonts w:cstheme="minorHAnsi"/>
          <w:color w:val="000000"/>
        </w:rPr>
        <w:t xml:space="preserve"> is in Attachment </w:t>
      </w:r>
      <w:r w:rsidR="001A5BA9">
        <w:rPr>
          <w:rFonts w:cstheme="minorHAnsi"/>
          <w:color w:val="000000"/>
        </w:rPr>
        <w:t>2</w:t>
      </w:r>
      <w:r w:rsidR="0090599A">
        <w:rPr>
          <w:rFonts w:cstheme="minorHAnsi"/>
        </w:rPr>
        <w:t>.</w:t>
      </w:r>
    </w:p>
    <w:p w14:paraId="6EFE0757" w14:textId="77777777" w:rsidR="00C02FA2" w:rsidRPr="000A27EE" w:rsidRDefault="00C02FA2" w:rsidP="00F015CC">
      <w:pPr>
        <w:spacing w:line="240" w:lineRule="auto"/>
        <w:jc w:val="both"/>
        <w:rPr>
          <w:rFonts w:cstheme="minorHAnsi"/>
        </w:rPr>
      </w:pPr>
    </w:p>
    <w:p w14:paraId="35B08B7C" w14:textId="4AA07CAE" w:rsidR="007C260C" w:rsidRPr="005206D4" w:rsidRDefault="00B43AFE" w:rsidP="00F015CC">
      <w:pPr>
        <w:pStyle w:val="a"/>
        <w:spacing w:before="0" w:after="160" w:line="240" w:lineRule="auto"/>
        <w:rPr>
          <w:rFonts w:cstheme="minorHAnsi"/>
          <w:sz w:val="22"/>
          <w:szCs w:val="22"/>
          <w:highlight w:val="yellow"/>
          <w:lang w:val="en-US"/>
        </w:rPr>
      </w:pPr>
      <w:r w:rsidRPr="005206D4">
        <w:rPr>
          <w:rFonts w:cstheme="minorHAnsi"/>
          <w:sz w:val="22"/>
          <w:szCs w:val="22"/>
          <w:lang w:val="en-US"/>
        </w:rPr>
        <w:t>8</w:t>
      </w:r>
      <w:r w:rsidR="007C260C" w:rsidRPr="005206D4">
        <w:rPr>
          <w:rFonts w:cstheme="minorHAnsi"/>
          <w:sz w:val="22"/>
          <w:szCs w:val="22"/>
          <w:lang w:val="en-US"/>
        </w:rPr>
        <w:t xml:space="preserve">. </w:t>
      </w:r>
      <w:r w:rsidR="00A656E3" w:rsidRPr="006B4414">
        <w:rPr>
          <w:rFonts w:cstheme="minorHAnsi"/>
          <w:sz w:val="22"/>
          <w:szCs w:val="22"/>
          <w:lang w:val="en-US"/>
        </w:rPr>
        <w:t>FINANCIAL MANAGEMENT</w:t>
      </w:r>
      <w:r w:rsidR="005A4AEF">
        <w:rPr>
          <w:rFonts w:cstheme="minorHAnsi"/>
          <w:sz w:val="22"/>
          <w:szCs w:val="22"/>
          <w:lang w:val="en-US"/>
        </w:rPr>
        <w:t xml:space="preserve"> *</w:t>
      </w:r>
    </w:p>
    <w:tbl>
      <w:tblPr>
        <w:tblW w:w="9351" w:type="dxa"/>
        <w:tblLook w:val="04A0" w:firstRow="1" w:lastRow="0" w:firstColumn="1" w:lastColumn="0" w:noHBand="0" w:noVBand="1"/>
      </w:tblPr>
      <w:tblGrid>
        <w:gridCol w:w="2830"/>
        <w:gridCol w:w="1418"/>
        <w:gridCol w:w="1417"/>
        <w:gridCol w:w="1276"/>
        <w:gridCol w:w="1276"/>
        <w:gridCol w:w="1134"/>
      </w:tblGrid>
      <w:tr w:rsidR="00F93F46" w:rsidRPr="00F015CC" w14:paraId="6BFBC737" w14:textId="77777777" w:rsidTr="005206D4">
        <w:trPr>
          <w:trHeight w:val="110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3E32C" w14:textId="77777777" w:rsidR="00F93F46" w:rsidRPr="00187234" w:rsidRDefault="00F93F46" w:rsidP="00F015CC">
            <w:pPr>
              <w:spacing w:line="240" w:lineRule="auto"/>
              <w:rPr>
                <w:rFonts w:eastAsia="Times New Roman" w:cstheme="minorHAnsi"/>
                <w:b/>
                <w:bCs/>
                <w:color w:val="000000"/>
                <w:lang w:eastAsia="ru-RU"/>
              </w:rPr>
            </w:pPr>
            <w:r w:rsidRPr="00187234">
              <w:rPr>
                <w:rFonts w:eastAsia="Times New Roman" w:cstheme="minorHAnsi"/>
                <w:b/>
                <w:bCs/>
                <w:color w:val="000000"/>
                <w:lang w:eastAsia="ru-RU"/>
              </w:rPr>
              <w:t>Output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8EE1A1" w14:textId="77777777" w:rsidR="00F93F46" w:rsidRPr="00F015CC" w:rsidRDefault="00F93F46" w:rsidP="00F015CC">
            <w:pPr>
              <w:spacing w:line="240" w:lineRule="auto"/>
              <w:rPr>
                <w:rFonts w:eastAsia="Times New Roman" w:cstheme="minorHAnsi"/>
                <w:b/>
                <w:bCs/>
                <w:color w:val="000000"/>
                <w:lang w:eastAsia="ru-RU"/>
              </w:rPr>
            </w:pPr>
            <w:r w:rsidRPr="00F015CC">
              <w:rPr>
                <w:rFonts w:eastAsia="Times New Roman" w:cstheme="minorHAnsi"/>
                <w:b/>
                <w:bCs/>
                <w:color w:val="000000"/>
                <w:lang w:eastAsia="ru-RU"/>
              </w:rPr>
              <w:t>Budgeted for the reported year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72C4BD" w14:textId="77777777" w:rsidR="00F93F46" w:rsidRPr="00774E81" w:rsidRDefault="00F93F46" w:rsidP="00F015CC">
            <w:pPr>
              <w:spacing w:line="240" w:lineRule="auto"/>
              <w:rPr>
                <w:rFonts w:eastAsia="Times New Roman" w:cstheme="minorHAnsi"/>
                <w:b/>
                <w:bCs/>
                <w:lang w:eastAsia="ru-RU"/>
              </w:rPr>
            </w:pPr>
            <w:r w:rsidRPr="00774E81">
              <w:rPr>
                <w:rFonts w:eastAsia="Times New Roman" w:cstheme="minorHAnsi"/>
                <w:b/>
                <w:bCs/>
                <w:lang w:eastAsia="ru-RU"/>
              </w:rPr>
              <w:t>Delivered for the reported year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F26C09" w14:textId="77777777" w:rsidR="00F93F46" w:rsidRPr="00F015CC" w:rsidRDefault="00F93F46" w:rsidP="00F015CC">
            <w:pPr>
              <w:spacing w:line="240" w:lineRule="auto"/>
              <w:rPr>
                <w:rFonts w:eastAsia="Times New Roman" w:cstheme="minorHAnsi"/>
                <w:b/>
                <w:bCs/>
                <w:color w:val="000000"/>
                <w:lang w:eastAsia="ru-RU"/>
              </w:rPr>
            </w:pPr>
            <w:r w:rsidRPr="00F015CC">
              <w:rPr>
                <w:rFonts w:eastAsia="Times New Roman" w:cstheme="minorHAnsi"/>
                <w:b/>
                <w:bCs/>
                <w:color w:val="000000"/>
                <w:lang w:eastAsia="ru-RU"/>
              </w:rPr>
              <w:t>Delivery rate for the reported year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278C55" w14:textId="77777777" w:rsidR="00F93F46" w:rsidRPr="00F015CC" w:rsidRDefault="00F93F46" w:rsidP="00F015CC">
            <w:pPr>
              <w:spacing w:line="240" w:lineRule="auto"/>
              <w:rPr>
                <w:rFonts w:eastAsia="Times New Roman" w:cstheme="minorHAnsi"/>
                <w:b/>
                <w:bCs/>
                <w:lang w:eastAsia="ru-RU"/>
              </w:rPr>
            </w:pPr>
            <w:r w:rsidRPr="00F015CC">
              <w:rPr>
                <w:rFonts w:eastAsia="Times New Roman" w:cstheme="minorHAnsi"/>
                <w:b/>
                <w:bCs/>
                <w:lang w:eastAsia="ru-RU"/>
              </w:rPr>
              <w:t>Budgeted for the entire project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3F6469" w14:textId="77777777" w:rsidR="00F93F46" w:rsidRPr="00F015CC" w:rsidRDefault="00F93F46" w:rsidP="00F015CC">
            <w:pPr>
              <w:spacing w:line="240" w:lineRule="auto"/>
              <w:rPr>
                <w:rFonts w:eastAsia="Times New Roman" w:cstheme="minorHAnsi"/>
                <w:b/>
                <w:bCs/>
                <w:color w:val="000000"/>
                <w:lang w:eastAsia="ru-RU"/>
              </w:rPr>
            </w:pPr>
            <w:r w:rsidRPr="00F015CC">
              <w:rPr>
                <w:rFonts w:eastAsia="Times New Roman" w:cstheme="minorHAnsi"/>
                <w:b/>
                <w:bCs/>
                <w:color w:val="000000"/>
                <w:lang w:eastAsia="ru-RU"/>
              </w:rPr>
              <w:t>Delivered since the project start</w:t>
            </w:r>
          </w:p>
        </w:tc>
      </w:tr>
      <w:tr w:rsidR="00F93F46" w:rsidRPr="00F015CC" w14:paraId="3F78A676" w14:textId="77777777" w:rsidTr="006A4A9C">
        <w:trPr>
          <w:trHeight w:val="1521"/>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516763A" w14:textId="77777777" w:rsidR="00F93F46" w:rsidRPr="00F015CC" w:rsidRDefault="00F93F46" w:rsidP="00F015CC">
            <w:pPr>
              <w:spacing w:line="240" w:lineRule="auto"/>
              <w:rPr>
                <w:rFonts w:eastAsia="Times New Roman" w:cstheme="minorHAnsi"/>
                <w:b/>
                <w:bCs/>
                <w:color w:val="000000"/>
                <w:lang w:eastAsia="ru-RU"/>
              </w:rPr>
            </w:pPr>
            <w:r w:rsidRPr="00F015CC">
              <w:rPr>
                <w:rFonts w:eastAsia="Times New Roman" w:cstheme="minorHAnsi"/>
                <w:b/>
                <w:bCs/>
                <w:color w:val="000000"/>
                <w:lang w:eastAsia="ru-RU"/>
              </w:rPr>
              <w:t xml:space="preserve">Activity 1. </w:t>
            </w:r>
            <w:r w:rsidRPr="00F45B20">
              <w:rPr>
                <w:rFonts w:eastAsia="Times New Roman" w:cstheme="minorHAnsi"/>
                <w:color w:val="000000"/>
                <w:lang w:eastAsia="ru-RU"/>
              </w:rPr>
              <w:t>Technical assistance to the Kyrgyz Republic in identification, preparation and implementation of bankable projects for financing from the RKDF</w:t>
            </w:r>
          </w:p>
        </w:tc>
        <w:tc>
          <w:tcPr>
            <w:tcW w:w="1418" w:type="dxa"/>
            <w:tcBorders>
              <w:top w:val="nil"/>
              <w:left w:val="nil"/>
              <w:bottom w:val="single" w:sz="4" w:space="0" w:color="auto"/>
              <w:right w:val="single" w:sz="4" w:space="0" w:color="auto"/>
            </w:tcBorders>
            <w:shd w:val="clear" w:color="auto" w:fill="auto"/>
            <w:vAlign w:val="center"/>
            <w:hideMark/>
          </w:tcPr>
          <w:p w14:paraId="39C2629E" w14:textId="33F8E581" w:rsidR="00F93F46" w:rsidRPr="00F015CC" w:rsidRDefault="00F93F46" w:rsidP="00F015CC">
            <w:pPr>
              <w:spacing w:line="240" w:lineRule="auto"/>
              <w:jc w:val="right"/>
              <w:rPr>
                <w:rFonts w:eastAsia="Times New Roman" w:cstheme="minorHAnsi"/>
                <w:color w:val="000000"/>
                <w:lang w:val="ru-RU" w:eastAsia="ru-RU"/>
              </w:rPr>
            </w:pPr>
            <w:r w:rsidRPr="00F015CC">
              <w:rPr>
                <w:rFonts w:eastAsia="Times New Roman" w:cstheme="minorHAnsi"/>
                <w:color w:val="000000"/>
                <w:lang w:val="ru-RU" w:eastAsia="ru-RU"/>
              </w:rPr>
              <w:t>312</w:t>
            </w:r>
            <w:r w:rsidR="00F45B20">
              <w:rPr>
                <w:rFonts w:eastAsia="Times New Roman" w:cstheme="minorHAnsi"/>
                <w:color w:val="000000"/>
                <w:lang w:eastAsia="ru-RU"/>
              </w:rPr>
              <w:t xml:space="preserve"> </w:t>
            </w:r>
            <w:r w:rsidRPr="00F015CC">
              <w:rPr>
                <w:rFonts w:eastAsia="Times New Roman" w:cstheme="minorHAnsi"/>
                <w:color w:val="000000"/>
                <w:lang w:val="ru-RU" w:eastAsia="ru-RU"/>
              </w:rPr>
              <w:t>000</w:t>
            </w:r>
          </w:p>
        </w:tc>
        <w:tc>
          <w:tcPr>
            <w:tcW w:w="1417" w:type="dxa"/>
            <w:tcBorders>
              <w:top w:val="nil"/>
              <w:left w:val="nil"/>
              <w:bottom w:val="single" w:sz="4" w:space="0" w:color="auto"/>
              <w:right w:val="single" w:sz="4" w:space="0" w:color="auto"/>
            </w:tcBorders>
            <w:shd w:val="clear" w:color="auto" w:fill="auto"/>
            <w:vAlign w:val="center"/>
            <w:hideMark/>
          </w:tcPr>
          <w:p w14:paraId="714E0F2D" w14:textId="7A147103" w:rsidR="00F93F46" w:rsidRPr="00774E81" w:rsidRDefault="0080469F" w:rsidP="00F015CC">
            <w:pPr>
              <w:spacing w:line="240" w:lineRule="auto"/>
              <w:jc w:val="right"/>
              <w:rPr>
                <w:rFonts w:eastAsia="Times New Roman" w:cstheme="minorHAnsi"/>
                <w:lang w:eastAsia="ru-RU"/>
              </w:rPr>
            </w:pPr>
            <w:r w:rsidRPr="00774E81">
              <w:rPr>
                <w:rFonts w:eastAsia="Times New Roman" w:cstheme="minorHAnsi"/>
                <w:lang w:eastAsia="ru-RU"/>
              </w:rPr>
              <w:t>26</w:t>
            </w:r>
            <w:r w:rsidR="00E606E5">
              <w:rPr>
                <w:rFonts w:eastAsia="Times New Roman" w:cstheme="minorHAnsi"/>
                <w:lang w:eastAsia="ru-RU"/>
              </w:rPr>
              <w:t>3</w:t>
            </w:r>
            <w:r w:rsidRPr="00774E81">
              <w:rPr>
                <w:rFonts w:eastAsia="Times New Roman" w:cstheme="minorHAnsi"/>
                <w:lang w:eastAsia="ru-RU"/>
              </w:rPr>
              <w:t xml:space="preserve"> </w:t>
            </w:r>
            <w:r w:rsidR="00E606E5">
              <w:rPr>
                <w:rFonts w:eastAsia="Times New Roman" w:cstheme="minorHAnsi"/>
                <w:lang w:eastAsia="ru-RU"/>
              </w:rPr>
              <w:t>042</w:t>
            </w:r>
          </w:p>
        </w:tc>
        <w:tc>
          <w:tcPr>
            <w:tcW w:w="1276" w:type="dxa"/>
            <w:tcBorders>
              <w:top w:val="nil"/>
              <w:left w:val="nil"/>
              <w:bottom w:val="single" w:sz="4" w:space="0" w:color="auto"/>
              <w:right w:val="single" w:sz="4" w:space="0" w:color="auto"/>
            </w:tcBorders>
            <w:shd w:val="clear" w:color="auto" w:fill="auto"/>
            <w:vAlign w:val="center"/>
          </w:tcPr>
          <w:p w14:paraId="5AA93200" w14:textId="7D6DA07A" w:rsidR="00F93F46" w:rsidRPr="0080469F" w:rsidRDefault="0080469F" w:rsidP="00F015CC">
            <w:pPr>
              <w:spacing w:line="240" w:lineRule="auto"/>
              <w:jc w:val="right"/>
              <w:rPr>
                <w:rFonts w:eastAsia="Times New Roman" w:cstheme="minorHAnsi"/>
                <w:color w:val="000000"/>
                <w:lang w:eastAsia="ru-RU"/>
              </w:rPr>
            </w:pPr>
            <w:r>
              <w:rPr>
                <w:rFonts w:eastAsia="Times New Roman" w:cstheme="minorHAnsi"/>
                <w:color w:val="000000"/>
                <w:lang w:eastAsia="ru-RU"/>
              </w:rPr>
              <w:t>84</w:t>
            </w:r>
            <w:r w:rsidR="00E606E5">
              <w:rPr>
                <w:rFonts w:eastAsia="Times New Roman" w:cstheme="minorHAnsi"/>
                <w:color w:val="000000"/>
                <w:lang w:eastAsia="ru-RU"/>
              </w:rPr>
              <w:t>.31</w:t>
            </w:r>
            <w:r>
              <w:rPr>
                <w:rFonts w:eastAsia="Times New Roman" w:cstheme="minorHAnsi"/>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27EFFF32" w14:textId="44D34A88" w:rsidR="00F93F46" w:rsidRPr="00F015CC" w:rsidRDefault="00F93F46" w:rsidP="00F015CC">
            <w:pPr>
              <w:spacing w:line="240" w:lineRule="auto"/>
              <w:jc w:val="right"/>
              <w:rPr>
                <w:rFonts w:eastAsia="Times New Roman" w:cstheme="minorHAnsi"/>
                <w:lang w:val="ru-RU" w:eastAsia="ru-RU"/>
              </w:rPr>
            </w:pPr>
            <w:r w:rsidRPr="00F015CC">
              <w:rPr>
                <w:rFonts w:eastAsia="Times New Roman" w:cstheme="minorHAnsi"/>
                <w:lang w:val="ru-RU" w:eastAsia="ru-RU"/>
              </w:rPr>
              <w:t>480</w:t>
            </w:r>
            <w:r w:rsidR="00F45B20">
              <w:rPr>
                <w:rFonts w:eastAsia="Times New Roman" w:cstheme="minorHAnsi"/>
                <w:lang w:eastAsia="ru-RU"/>
              </w:rPr>
              <w:t xml:space="preserve"> </w:t>
            </w:r>
            <w:r w:rsidRPr="00F015CC">
              <w:rPr>
                <w:rFonts w:eastAsia="Times New Roman" w:cstheme="minorHAnsi"/>
                <w:lang w:val="ru-RU" w:eastAsia="ru-RU"/>
              </w:rPr>
              <w:t>000</w:t>
            </w:r>
          </w:p>
        </w:tc>
        <w:tc>
          <w:tcPr>
            <w:tcW w:w="1134" w:type="dxa"/>
            <w:tcBorders>
              <w:top w:val="nil"/>
              <w:left w:val="nil"/>
              <w:bottom w:val="single" w:sz="4" w:space="0" w:color="auto"/>
              <w:right w:val="single" w:sz="4" w:space="0" w:color="auto"/>
            </w:tcBorders>
            <w:shd w:val="clear" w:color="auto" w:fill="auto"/>
            <w:vAlign w:val="center"/>
          </w:tcPr>
          <w:p w14:paraId="3D1DE8CC" w14:textId="3FEFDFC5" w:rsidR="00F93F46" w:rsidRPr="0080469F" w:rsidRDefault="0080469F" w:rsidP="00F015CC">
            <w:pPr>
              <w:spacing w:line="240" w:lineRule="auto"/>
              <w:jc w:val="right"/>
              <w:rPr>
                <w:rFonts w:eastAsia="Times New Roman" w:cstheme="minorHAnsi"/>
                <w:color w:val="000000"/>
                <w:lang w:eastAsia="ru-RU"/>
              </w:rPr>
            </w:pPr>
            <w:r>
              <w:rPr>
                <w:rFonts w:eastAsia="Times New Roman" w:cstheme="minorHAnsi"/>
                <w:color w:val="000000"/>
                <w:lang w:eastAsia="ru-RU"/>
              </w:rPr>
              <w:t>54</w:t>
            </w:r>
            <w:r w:rsidR="00E606E5">
              <w:rPr>
                <w:rFonts w:eastAsia="Times New Roman" w:cstheme="minorHAnsi"/>
                <w:color w:val="000000"/>
                <w:lang w:eastAsia="ru-RU"/>
              </w:rPr>
              <w:t>.80</w:t>
            </w:r>
            <w:r>
              <w:rPr>
                <w:rFonts w:eastAsia="Times New Roman" w:cstheme="minorHAnsi"/>
                <w:color w:val="000000"/>
                <w:lang w:eastAsia="ru-RU"/>
              </w:rPr>
              <w:t>%</w:t>
            </w:r>
          </w:p>
        </w:tc>
      </w:tr>
      <w:tr w:rsidR="00F93F46" w:rsidRPr="00F015CC" w14:paraId="6BD9572E" w14:textId="77777777" w:rsidTr="006A4A9C">
        <w:trPr>
          <w:trHeight w:val="249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296DA3B" w14:textId="77777777" w:rsidR="00F93F46" w:rsidRPr="00F015CC" w:rsidRDefault="00F93F46" w:rsidP="00F015CC">
            <w:pPr>
              <w:spacing w:line="240" w:lineRule="auto"/>
              <w:rPr>
                <w:rFonts w:eastAsia="Times New Roman" w:cstheme="minorHAnsi"/>
                <w:b/>
                <w:bCs/>
                <w:color w:val="000000"/>
                <w:lang w:eastAsia="ru-RU"/>
              </w:rPr>
            </w:pPr>
            <w:r w:rsidRPr="00F015CC">
              <w:rPr>
                <w:rFonts w:eastAsia="Times New Roman" w:cstheme="minorHAnsi"/>
                <w:b/>
                <w:bCs/>
                <w:color w:val="000000"/>
                <w:lang w:eastAsia="ru-RU"/>
              </w:rPr>
              <w:t xml:space="preserve">Activity 2. </w:t>
            </w:r>
            <w:r w:rsidRPr="00F45B20">
              <w:rPr>
                <w:rFonts w:eastAsia="Times New Roman" w:cstheme="minorHAnsi"/>
                <w:color w:val="000000"/>
                <w:lang w:eastAsia="ru-RU"/>
              </w:rPr>
              <w:t>Technical assistance in project preparation for potential financing by IFIs to governmental and business entities in Armenia, Belarus, Kazakhstan, Kyrgyzstan, and Tajikistan, including EDB clients</w:t>
            </w:r>
          </w:p>
        </w:tc>
        <w:tc>
          <w:tcPr>
            <w:tcW w:w="1418" w:type="dxa"/>
            <w:tcBorders>
              <w:top w:val="nil"/>
              <w:left w:val="nil"/>
              <w:bottom w:val="single" w:sz="4" w:space="0" w:color="auto"/>
              <w:right w:val="single" w:sz="4" w:space="0" w:color="auto"/>
            </w:tcBorders>
            <w:shd w:val="clear" w:color="auto" w:fill="auto"/>
            <w:vAlign w:val="center"/>
            <w:hideMark/>
          </w:tcPr>
          <w:p w14:paraId="403EC959" w14:textId="6E895E47" w:rsidR="00F93F46" w:rsidRPr="00F015CC" w:rsidRDefault="00F93F46" w:rsidP="00F015CC">
            <w:pPr>
              <w:spacing w:line="240" w:lineRule="auto"/>
              <w:jc w:val="right"/>
              <w:rPr>
                <w:rFonts w:eastAsia="Times New Roman" w:cstheme="minorHAnsi"/>
                <w:color w:val="000000"/>
                <w:lang w:val="ru-RU" w:eastAsia="ru-RU"/>
              </w:rPr>
            </w:pPr>
            <w:r w:rsidRPr="00F015CC">
              <w:rPr>
                <w:rFonts w:eastAsia="Times New Roman" w:cstheme="minorHAnsi"/>
                <w:color w:val="000000"/>
                <w:lang w:val="ru-RU" w:eastAsia="ru-RU"/>
              </w:rPr>
              <w:t>420</w:t>
            </w:r>
            <w:r w:rsidR="00F45B20">
              <w:rPr>
                <w:rFonts w:eastAsia="Times New Roman" w:cstheme="minorHAnsi"/>
                <w:color w:val="000000"/>
                <w:lang w:eastAsia="ru-RU"/>
              </w:rPr>
              <w:t xml:space="preserve"> </w:t>
            </w:r>
            <w:r w:rsidRPr="00F015CC">
              <w:rPr>
                <w:rFonts w:eastAsia="Times New Roman" w:cstheme="minorHAnsi"/>
                <w:color w:val="000000"/>
                <w:lang w:val="ru-RU" w:eastAsia="ru-RU"/>
              </w:rPr>
              <w:t>000</w:t>
            </w:r>
          </w:p>
        </w:tc>
        <w:tc>
          <w:tcPr>
            <w:tcW w:w="1417" w:type="dxa"/>
            <w:tcBorders>
              <w:top w:val="nil"/>
              <w:left w:val="nil"/>
              <w:bottom w:val="single" w:sz="4" w:space="0" w:color="auto"/>
              <w:right w:val="single" w:sz="4" w:space="0" w:color="auto"/>
            </w:tcBorders>
            <w:shd w:val="clear" w:color="auto" w:fill="auto"/>
            <w:vAlign w:val="center"/>
            <w:hideMark/>
          </w:tcPr>
          <w:p w14:paraId="43BF32D9" w14:textId="115E1DC0" w:rsidR="00F93F46" w:rsidRPr="00774E81" w:rsidRDefault="0080469F" w:rsidP="00F015CC">
            <w:pPr>
              <w:spacing w:line="240" w:lineRule="auto"/>
              <w:jc w:val="right"/>
              <w:rPr>
                <w:rFonts w:eastAsia="Times New Roman" w:cstheme="minorHAnsi"/>
                <w:lang w:eastAsia="ru-RU"/>
              </w:rPr>
            </w:pPr>
            <w:r w:rsidRPr="00774E81">
              <w:rPr>
                <w:rFonts w:eastAsia="Times New Roman" w:cstheme="minorHAnsi"/>
                <w:lang w:eastAsia="ru-RU"/>
              </w:rPr>
              <w:t>50 261</w:t>
            </w:r>
          </w:p>
        </w:tc>
        <w:tc>
          <w:tcPr>
            <w:tcW w:w="1276" w:type="dxa"/>
            <w:tcBorders>
              <w:top w:val="nil"/>
              <w:left w:val="nil"/>
              <w:bottom w:val="single" w:sz="4" w:space="0" w:color="auto"/>
              <w:right w:val="single" w:sz="4" w:space="0" w:color="auto"/>
            </w:tcBorders>
            <w:shd w:val="clear" w:color="auto" w:fill="auto"/>
            <w:vAlign w:val="center"/>
          </w:tcPr>
          <w:p w14:paraId="190E8EAB" w14:textId="5A331DA8" w:rsidR="00F93F46" w:rsidRPr="0080469F" w:rsidRDefault="00E606E5" w:rsidP="00F015CC">
            <w:pPr>
              <w:spacing w:line="240" w:lineRule="auto"/>
              <w:jc w:val="right"/>
              <w:rPr>
                <w:rFonts w:eastAsia="Times New Roman" w:cstheme="minorHAnsi"/>
                <w:color w:val="000000"/>
                <w:lang w:eastAsia="ru-RU"/>
              </w:rPr>
            </w:pPr>
            <w:r>
              <w:rPr>
                <w:rFonts w:eastAsia="Times New Roman" w:cstheme="minorHAnsi"/>
                <w:color w:val="000000"/>
                <w:lang w:eastAsia="ru-RU"/>
              </w:rPr>
              <w:t>11.97</w:t>
            </w:r>
            <w:r w:rsidR="0080469F">
              <w:rPr>
                <w:rFonts w:eastAsia="Times New Roman" w:cstheme="minorHAnsi"/>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5E83F5CF" w14:textId="78DF179F" w:rsidR="00F93F46" w:rsidRPr="00F015CC" w:rsidRDefault="00F93F46" w:rsidP="00F015CC">
            <w:pPr>
              <w:spacing w:line="240" w:lineRule="auto"/>
              <w:jc w:val="right"/>
              <w:rPr>
                <w:rFonts w:eastAsia="Times New Roman" w:cstheme="minorHAnsi"/>
                <w:lang w:val="ru-RU" w:eastAsia="ru-RU"/>
              </w:rPr>
            </w:pPr>
            <w:r w:rsidRPr="00F015CC">
              <w:rPr>
                <w:rFonts w:eastAsia="Times New Roman" w:cstheme="minorHAnsi"/>
                <w:lang w:val="ru-RU" w:eastAsia="ru-RU"/>
              </w:rPr>
              <w:t>660</w:t>
            </w:r>
            <w:r w:rsidR="00F45B20">
              <w:rPr>
                <w:rFonts w:eastAsia="Times New Roman" w:cstheme="minorHAnsi"/>
                <w:lang w:eastAsia="ru-RU"/>
              </w:rPr>
              <w:t xml:space="preserve"> </w:t>
            </w:r>
            <w:r w:rsidRPr="00F015CC">
              <w:rPr>
                <w:rFonts w:eastAsia="Times New Roman" w:cstheme="minorHAnsi"/>
                <w:lang w:val="ru-RU" w:eastAsia="ru-RU"/>
              </w:rPr>
              <w:t>000</w:t>
            </w:r>
          </w:p>
        </w:tc>
        <w:tc>
          <w:tcPr>
            <w:tcW w:w="1134" w:type="dxa"/>
            <w:tcBorders>
              <w:top w:val="nil"/>
              <w:left w:val="nil"/>
              <w:bottom w:val="single" w:sz="4" w:space="0" w:color="auto"/>
              <w:right w:val="single" w:sz="4" w:space="0" w:color="auto"/>
            </w:tcBorders>
            <w:shd w:val="clear" w:color="auto" w:fill="auto"/>
            <w:vAlign w:val="center"/>
          </w:tcPr>
          <w:p w14:paraId="0779EF2D" w14:textId="22E8EC61" w:rsidR="00F93F46" w:rsidRPr="0080469F" w:rsidRDefault="00E606E5" w:rsidP="00F015CC">
            <w:pPr>
              <w:spacing w:line="240" w:lineRule="auto"/>
              <w:jc w:val="right"/>
              <w:rPr>
                <w:rFonts w:eastAsia="Times New Roman" w:cstheme="minorHAnsi"/>
                <w:color w:val="000000"/>
                <w:lang w:eastAsia="ru-RU"/>
              </w:rPr>
            </w:pPr>
            <w:r>
              <w:rPr>
                <w:rFonts w:eastAsia="Times New Roman" w:cstheme="minorHAnsi"/>
                <w:color w:val="000000"/>
                <w:lang w:eastAsia="ru-RU"/>
              </w:rPr>
              <w:t>7.62</w:t>
            </w:r>
            <w:r w:rsidR="0080469F">
              <w:rPr>
                <w:rFonts w:eastAsia="Times New Roman" w:cstheme="minorHAnsi"/>
                <w:color w:val="000000"/>
                <w:lang w:eastAsia="ru-RU"/>
              </w:rPr>
              <w:t>%</w:t>
            </w:r>
          </w:p>
        </w:tc>
      </w:tr>
      <w:tr w:rsidR="00F93F46" w:rsidRPr="00F015CC" w14:paraId="06C5BB3B" w14:textId="77777777" w:rsidTr="006A4A9C">
        <w:trPr>
          <w:trHeight w:val="70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BF264A5" w14:textId="1232D6EE" w:rsidR="00F93F46" w:rsidRPr="00187234" w:rsidRDefault="00F93F46" w:rsidP="00F015CC">
            <w:pPr>
              <w:spacing w:line="240" w:lineRule="auto"/>
              <w:rPr>
                <w:rFonts w:eastAsia="Times New Roman" w:cstheme="minorHAnsi"/>
                <w:b/>
                <w:bCs/>
                <w:color w:val="000000"/>
                <w:lang w:eastAsia="ru-RU"/>
              </w:rPr>
            </w:pPr>
            <w:r w:rsidRPr="00187234">
              <w:rPr>
                <w:rFonts w:eastAsia="Times New Roman" w:cstheme="minorHAnsi"/>
                <w:b/>
                <w:bCs/>
                <w:color w:val="000000"/>
                <w:lang w:eastAsia="ru-RU"/>
              </w:rPr>
              <w:t xml:space="preserve">Activity 3 </w:t>
            </w:r>
            <w:r w:rsidRPr="00187234">
              <w:rPr>
                <w:rFonts w:eastAsia="Times New Roman" w:cstheme="minorHAnsi"/>
                <w:color w:val="000000"/>
                <w:lang w:eastAsia="ru-RU"/>
              </w:rPr>
              <w:t>Project Management</w:t>
            </w:r>
            <w:r w:rsidR="0080469F">
              <w:rPr>
                <w:rFonts w:eastAsia="Times New Roman" w:cstheme="minorHAnsi"/>
                <w:color w:val="000000"/>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D0BB4D4" w14:textId="6FF00779" w:rsidR="00F93F46" w:rsidRPr="0080469F" w:rsidRDefault="0080469F" w:rsidP="00F015CC">
            <w:pPr>
              <w:spacing w:line="240" w:lineRule="auto"/>
              <w:jc w:val="right"/>
              <w:rPr>
                <w:rFonts w:eastAsia="Times New Roman" w:cstheme="minorHAnsi"/>
                <w:color w:val="000000"/>
                <w:lang w:eastAsia="ru-RU"/>
              </w:rPr>
            </w:pPr>
            <w:r>
              <w:rPr>
                <w:rFonts w:eastAsia="Times New Roman" w:cstheme="minorHAnsi"/>
                <w:color w:val="000000"/>
                <w:lang w:eastAsia="ru-RU"/>
              </w:rPr>
              <w:t>115 800</w:t>
            </w:r>
          </w:p>
        </w:tc>
        <w:tc>
          <w:tcPr>
            <w:tcW w:w="1417" w:type="dxa"/>
            <w:tcBorders>
              <w:top w:val="nil"/>
              <w:left w:val="nil"/>
              <w:bottom w:val="single" w:sz="4" w:space="0" w:color="auto"/>
              <w:right w:val="single" w:sz="4" w:space="0" w:color="auto"/>
            </w:tcBorders>
            <w:shd w:val="clear" w:color="auto" w:fill="auto"/>
            <w:vAlign w:val="center"/>
            <w:hideMark/>
          </w:tcPr>
          <w:p w14:paraId="75250D44" w14:textId="6E9C312A" w:rsidR="00F93F46" w:rsidRPr="00774E81" w:rsidRDefault="00E606E5" w:rsidP="00F015CC">
            <w:pPr>
              <w:spacing w:line="240" w:lineRule="auto"/>
              <w:jc w:val="right"/>
              <w:rPr>
                <w:rFonts w:eastAsia="Times New Roman" w:cstheme="minorHAnsi"/>
                <w:lang w:eastAsia="ru-RU"/>
              </w:rPr>
            </w:pPr>
            <w:r>
              <w:rPr>
                <w:rFonts w:eastAsia="Times New Roman" w:cstheme="minorHAnsi"/>
                <w:lang w:eastAsia="ru-RU"/>
              </w:rPr>
              <w:t>88</w:t>
            </w:r>
            <w:r w:rsidR="0080469F" w:rsidRPr="00774E81">
              <w:rPr>
                <w:rFonts w:eastAsia="Times New Roman" w:cstheme="minorHAnsi"/>
                <w:lang w:eastAsia="ru-RU"/>
              </w:rPr>
              <w:t xml:space="preserve"> </w:t>
            </w:r>
            <w:r>
              <w:rPr>
                <w:rFonts w:eastAsia="Times New Roman" w:cstheme="minorHAnsi"/>
                <w:lang w:eastAsia="ru-RU"/>
              </w:rPr>
              <w:t>443</w:t>
            </w:r>
          </w:p>
        </w:tc>
        <w:tc>
          <w:tcPr>
            <w:tcW w:w="1276" w:type="dxa"/>
            <w:tcBorders>
              <w:top w:val="nil"/>
              <w:left w:val="nil"/>
              <w:bottom w:val="single" w:sz="4" w:space="0" w:color="auto"/>
              <w:right w:val="single" w:sz="4" w:space="0" w:color="auto"/>
            </w:tcBorders>
            <w:shd w:val="clear" w:color="auto" w:fill="auto"/>
            <w:vAlign w:val="center"/>
          </w:tcPr>
          <w:p w14:paraId="297AEB68" w14:textId="71C4828A" w:rsidR="00F93F46" w:rsidRPr="0080469F" w:rsidRDefault="00E606E5" w:rsidP="00F015CC">
            <w:pPr>
              <w:spacing w:line="240" w:lineRule="auto"/>
              <w:jc w:val="right"/>
              <w:rPr>
                <w:rFonts w:eastAsia="Times New Roman" w:cstheme="minorHAnsi"/>
                <w:color w:val="000000"/>
                <w:lang w:eastAsia="ru-RU"/>
              </w:rPr>
            </w:pPr>
            <w:r>
              <w:rPr>
                <w:rFonts w:eastAsia="Times New Roman" w:cstheme="minorHAnsi"/>
                <w:color w:val="000000"/>
                <w:lang w:eastAsia="ru-RU"/>
              </w:rPr>
              <w:t>76.38</w:t>
            </w:r>
            <w:r w:rsidR="0080469F">
              <w:rPr>
                <w:rFonts w:eastAsia="Times New Roman" w:cstheme="minorHAnsi"/>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6BA5B870" w14:textId="219A3543" w:rsidR="00F93F46" w:rsidRPr="00F015CC" w:rsidRDefault="00F93F46" w:rsidP="00F015CC">
            <w:pPr>
              <w:spacing w:line="240" w:lineRule="auto"/>
              <w:jc w:val="right"/>
              <w:rPr>
                <w:rFonts w:eastAsia="Times New Roman" w:cstheme="minorHAnsi"/>
                <w:lang w:val="ru-RU" w:eastAsia="ru-RU"/>
              </w:rPr>
            </w:pPr>
            <w:r w:rsidRPr="00F015CC">
              <w:rPr>
                <w:rFonts w:eastAsia="Times New Roman" w:cstheme="minorHAnsi"/>
                <w:lang w:val="ru-RU" w:eastAsia="ru-RU"/>
              </w:rPr>
              <w:t>182</w:t>
            </w:r>
            <w:r w:rsidR="00F45B20">
              <w:rPr>
                <w:rFonts w:eastAsia="Times New Roman" w:cstheme="minorHAnsi"/>
                <w:lang w:eastAsia="ru-RU"/>
              </w:rPr>
              <w:t xml:space="preserve"> </w:t>
            </w:r>
            <w:r w:rsidRPr="00F015CC">
              <w:rPr>
                <w:rFonts w:eastAsia="Times New Roman" w:cstheme="minorHAnsi"/>
                <w:lang w:val="ru-RU" w:eastAsia="ru-RU"/>
              </w:rPr>
              <w:t>113</w:t>
            </w:r>
          </w:p>
        </w:tc>
        <w:tc>
          <w:tcPr>
            <w:tcW w:w="1134" w:type="dxa"/>
            <w:tcBorders>
              <w:top w:val="nil"/>
              <w:left w:val="nil"/>
              <w:bottom w:val="single" w:sz="4" w:space="0" w:color="auto"/>
              <w:right w:val="single" w:sz="4" w:space="0" w:color="auto"/>
            </w:tcBorders>
            <w:shd w:val="clear" w:color="auto" w:fill="auto"/>
            <w:vAlign w:val="center"/>
          </w:tcPr>
          <w:p w14:paraId="4FA1A1B7" w14:textId="14C401B5" w:rsidR="00F93F46" w:rsidRPr="0080469F" w:rsidRDefault="00E606E5" w:rsidP="00F015CC">
            <w:pPr>
              <w:spacing w:line="240" w:lineRule="auto"/>
              <w:jc w:val="right"/>
              <w:rPr>
                <w:rFonts w:eastAsia="Times New Roman" w:cstheme="minorHAnsi"/>
                <w:color w:val="000000"/>
                <w:lang w:eastAsia="ru-RU"/>
              </w:rPr>
            </w:pPr>
            <w:r>
              <w:rPr>
                <w:rFonts w:eastAsia="Times New Roman" w:cstheme="minorHAnsi"/>
                <w:color w:val="000000"/>
                <w:lang w:eastAsia="ru-RU"/>
              </w:rPr>
              <w:t>48.56</w:t>
            </w:r>
            <w:r w:rsidR="0080469F">
              <w:rPr>
                <w:rFonts w:eastAsia="Times New Roman" w:cstheme="minorHAnsi"/>
                <w:color w:val="000000"/>
                <w:lang w:eastAsia="ru-RU"/>
              </w:rPr>
              <w:t>%</w:t>
            </w:r>
          </w:p>
        </w:tc>
      </w:tr>
      <w:tr w:rsidR="00F93F46" w:rsidRPr="00F015CC" w14:paraId="0FD28D71" w14:textId="77777777" w:rsidTr="006A4A9C">
        <w:trPr>
          <w:trHeight w:val="320"/>
        </w:trPr>
        <w:tc>
          <w:tcPr>
            <w:tcW w:w="2830" w:type="dxa"/>
            <w:tcBorders>
              <w:top w:val="nil"/>
              <w:left w:val="single" w:sz="4" w:space="0" w:color="auto"/>
              <w:bottom w:val="nil"/>
              <w:right w:val="single" w:sz="4" w:space="0" w:color="auto"/>
            </w:tcBorders>
            <w:shd w:val="clear" w:color="auto" w:fill="auto"/>
            <w:vAlign w:val="center"/>
            <w:hideMark/>
          </w:tcPr>
          <w:p w14:paraId="6AAC806D" w14:textId="77777777" w:rsidR="00F93F46" w:rsidRPr="00F015CC" w:rsidRDefault="00F93F46" w:rsidP="00F015CC">
            <w:pPr>
              <w:spacing w:line="240" w:lineRule="auto"/>
              <w:rPr>
                <w:rFonts w:eastAsia="Times New Roman" w:cstheme="minorHAnsi"/>
                <w:b/>
                <w:bCs/>
                <w:color w:val="000000"/>
                <w:lang w:val="ru-RU" w:eastAsia="ru-RU"/>
              </w:rPr>
            </w:pPr>
            <w:r w:rsidRPr="00F015CC">
              <w:rPr>
                <w:rFonts w:eastAsia="Times New Roman" w:cstheme="minorHAnsi"/>
                <w:b/>
                <w:bCs/>
                <w:color w:val="000000"/>
                <w:lang w:val="ru-RU" w:eastAsia="ru-RU"/>
              </w:rPr>
              <w:t>GMS</w:t>
            </w:r>
          </w:p>
        </w:tc>
        <w:tc>
          <w:tcPr>
            <w:tcW w:w="1418" w:type="dxa"/>
            <w:tcBorders>
              <w:top w:val="nil"/>
              <w:left w:val="nil"/>
              <w:bottom w:val="nil"/>
              <w:right w:val="single" w:sz="4" w:space="0" w:color="auto"/>
            </w:tcBorders>
            <w:shd w:val="clear" w:color="auto" w:fill="auto"/>
            <w:vAlign w:val="center"/>
            <w:hideMark/>
          </w:tcPr>
          <w:p w14:paraId="76C7C610" w14:textId="476AB95B" w:rsidR="00F93F46" w:rsidRPr="00F015CC" w:rsidRDefault="00F93F46" w:rsidP="00F015CC">
            <w:pPr>
              <w:spacing w:line="240" w:lineRule="auto"/>
              <w:jc w:val="right"/>
              <w:rPr>
                <w:rFonts w:eastAsia="Times New Roman" w:cstheme="minorHAnsi"/>
                <w:color w:val="000000"/>
                <w:lang w:val="ru-RU" w:eastAsia="ru-RU"/>
              </w:rPr>
            </w:pPr>
            <w:r w:rsidRPr="00F015CC">
              <w:rPr>
                <w:rFonts w:eastAsia="Times New Roman" w:cstheme="minorHAnsi"/>
                <w:color w:val="000000"/>
                <w:lang w:val="ru-RU" w:eastAsia="ru-RU"/>
              </w:rPr>
              <w:t>61</w:t>
            </w:r>
            <w:r w:rsidR="00F45B20">
              <w:rPr>
                <w:rFonts w:eastAsia="Times New Roman" w:cstheme="minorHAnsi"/>
                <w:color w:val="000000"/>
                <w:lang w:eastAsia="ru-RU"/>
              </w:rPr>
              <w:t xml:space="preserve"> </w:t>
            </w:r>
            <w:r w:rsidRPr="00F015CC">
              <w:rPr>
                <w:rFonts w:eastAsia="Times New Roman" w:cstheme="minorHAnsi"/>
                <w:color w:val="000000"/>
                <w:lang w:val="ru-RU" w:eastAsia="ru-RU"/>
              </w:rPr>
              <w:t>824</w:t>
            </w:r>
          </w:p>
        </w:tc>
        <w:tc>
          <w:tcPr>
            <w:tcW w:w="1417" w:type="dxa"/>
            <w:tcBorders>
              <w:top w:val="nil"/>
              <w:left w:val="nil"/>
              <w:bottom w:val="nil"/>
              <w:right w:val="single" w:sz="4" w:space="0" w:color="auto"/>
            </w:tcBorders>
            <w:shd w:val="clear" w:color="auto" w:fill="auto"/>
            <w:vAlign w:val="center"/>
            <w:hideMark/>
          </w:tcPr>
          <w:p w14:paraId="6906464D" w14:textId="5C63325C" w:rsidR="00F93F46" w:rsidRPr="00774E81" w:rsidRDefault="0080469F" w:rsidP="00F015CC">
            <w:pPr>
              <w:spacing w:line="240" w:lineRule="auto"/>
              <w:jc w:val="right"/>
              <w:rPr>
                <w:rFonts w:eastAsia="Times New Roman" w:cstheme="minorHAnsi"/>
                <w:lang w:eastAsia="ru-RU"/>
              </w:rPr>
            </w:pPr>
            <w:r w:rsidRPr="00774E81">
              <w:rPr>
                <w:rFonts w:eastAsia="Times New Roman" w:cstheme="minorHAnsi"/>
                <w:lang w:eastAsia="ru-RU"/>
              </w:rPr>
              <w:t xml:space="preserve">6 </w:t>
            </w:r>
            <w:r w:rsidR="00E606E5">
              <w:rPr>
                <w:rFonts w:eastAsia="Times New Roman" w:cstheme="minorHAnsi"/>
                <w:lang w:eastAsia="ru-RU"/>
              </w:rPr>
              <w:t>468</w:t>
            </w:r>
          </w:p>
        </w:tc>
        <w:tc>
          <w:tcPr>
            <w:tcW w:w="1276" w:type="dxa"/>
            <w:tcBorders>
              <w:top w:val="nil"/>
              <w:left w:val="nil"/>
              <w:bottom w:val="nil"/>
              <w:right w:val="single" w:sz="4" w:space="0" w:color="auto"/>
            </w:tcBorders>
            <w:shd w:val="clear" w:color="auto" w:fill="auto"/>
            <w:vAlign w:val="center"/>
          </w:tcPr>
          <w:p w14:paraId="30C3E6CB" w14:textId="2B823CAD" w:rsidR="00F93F46" w:rsidRPr="0080469F" w:rsidRDefault="0080469F" w:rsidP="00F015CC">
            <w:pPr>
              <w:spacing w:line="240" w:lineRule="auto"/>
              <w:jc w:val="right"/>
              <w:rPr>
                <w:rFonts w:eastAsia="Times New Roman" w:cstheme="minorHAnsi"/>
                <w:color w:val="000000"/>
                <w:lang w:eastAsia="ru-RU"/>
              </w:rPr>
            </w:pPr>
            <w:r>
              <w:rPr>
                <w:rFonts w:eastAsia="Times New Roman" w:cstheme="minorHAnsi"/>
                <w:color w:val="000000"/>
                <w:lang w:eastAsia="ru-RU"/>
              </w:rPr>
              <w:t>10</w:t>
            </w:r>
            <w:r w:rsidR="00E606E5">
              <w:rPr>
                <w:rFonts w:eastAsia="Times New Roman" w:cstheme="minorHAnsi"/>
                <w:color w:val="000000"/>
                <w:lang w:eastAsia="ru-RU"/>
              </w:rPr>
              <w:t>.46</w:t>
            </w:r>
            <w:r>
              <w:rPr>
                <w:rFonts w:eastAsia="Times New Roman" w:cstheme="minorHAnsi"/>
                <w:color w:val="000000"/>
                <w:lang w:eastAsia="ru-RU"/>
              </w:rPr>
              <w:t>%</w:t>
            </w:r>
          </w:p>
        </w:tc>
        <w:tc>
          <w:tcPr>
            <w:tcW w:w="1276" w:type="dxa"/>
            <w:tcBorders>
              <w:top w:val="nil"/>
              <w:left w:val="nil"/>
              <w:bottom w:val="nil"/>
              <w:right w:val="single" w:sz="4" w:space="0" w:color="auto"/>
            </w:tcBorders>
            <w:shd w:val="clear" w:color="auto" w:fill="auto"/>
            <w:vAlign w:val="center"/>
            <w:hideMark/>
          </w:tcPr>
          <w:p w14:paraId="6679C605" w14:textId="33FA009D" w:rsidR="00F93F46" w:rsidRPr="00F015CC" w:rsidRDefault="00F93F46" w:rsidP="00F015CC">
            <w:pPr>
              <w:spacing w:line="240" w:lineRule="auto"/>
              <w:jc w:val="right"/>
              <w:rPr>
                <w:rFonts w:eastAsia="Times New Roman" w:cstheme="minorHAnsi"/>
                <w:lang w:val="ru-RU" w:eastAsia="ru-RU"/>
              </w:rPr>
            </w:pPr>
            <w:r w:rsidRPr="00F015CC">
              <w:rPr>
                <w:rFonts w:eastAsia="Times New Roman" w:cstheme="minorHAnsi"/>
                <w:lang w:val="ru-RU" w:eastAsia="ru-RU"/>
              </w:rPr>
              <w:t>88</w:t>
            </w:r>
            <w:r w:rsidR="00F45B20">
              <w:rPr>
                <w:rFonts w:eastAsia="Times New Roman" w:cstheme="minorHAnsi"/>
                <w:lang w:eastAsia="ru-RU"/>
              </w:rPr>
              <w:t xml:space="preserve"> </w:t>
            </w:r>
            <w:r w:rsidRPr="00F015CC">
              <w:rPr>
                <w:rFonts w:eastAsia="Times New Roman" w:cstheme="minorHAnsi"/>
                <w:lang w:val="ru-RU" w:eastAsia="ru-RU"/>
              </w:rPr>
              <w:t>887</w:t>
            </w:r>
          </w:p>
        </w:tc>
        <w:tc>
          <w:tcPr>
            <w:tcW w:w="1134" w:type="dxa"/>
            <w:tcBorders>
              <w:top w:val="nil"/>
              <w:left w:val="nil"/>
              <w:bottom w:val="nil"/>
              <w:right w:val="single" w:sz="4" w:space="0" w:color="auto"/>
            </w:tcBorders>
            <w:shd w:val="clear" w:color="auto" w:fill="auto"/>
            <w:vAlign w:val="center"/>
          </w:tcPr>
          <w:p w14:paraId="68AEAA92" w14:textId="6D87504B" w:rsidR="00F93F46" w:rsidRPr="0080469F" w:rsidRDefault="0080469F" w:rsidP="00F015CC">
            <w:pPr>
              <w:spacing w:line="240" w:lineRule="auto"/>
              <w:jc w:val="right"/>
              <w:rPr>
                <w:rFonts w:eastAsia="Times New Roman" w:cstheme="minorHAnsi"/>
                <w:color w:val="000000"/>
                <w:lang w:eastAsia="ru-RU"/>
              </w:rPr>
            </w:pPr>
            <w:r>
              <w:rPr>
                <w:rFonts w:eastAsia="Times New Roman" w:cstheme="minorHAnsi"/>
                <w:color w:val="000000"/>
                <w:lang w:eastAsia="ru-RU"/>
              </w:rPr>
              <w:t>7</w:t>
            </w:r>
            <w:r w:rsidR="00E606E5">
              <w:rPr>
                <w:rFonts w:eastAsia="Times New Roman" w:cstheme="minorHAnsi"/>
                <w:color w:val="000000"/>
                <w:lang w:eastAsia="ru-RU"/>
              </w:rPr>
              <w:t>.28</w:t>
            </w:r>
            <w:r>
              <w:rPr>
                <w:rFonts w:eastAsia="Times New Roman" w:cstheme="minorHAnsi"/>
                <w:color w:val="000000"/>
                <w:lang w:eastAsia="ru-RU"/>
              </w:rPr>
              <w:t>%</w:t>
            </w:r>
          </w:p>
        </w:tc>
      </w:tr>
      <w:tr w:rsidR="00207B02" w:rsidRPr="00F015CC" w14:paraId="65FEF3DE" w14:textId="77777777" w:rsidTr="006A4A9C">
        <w:trPr>
          <w:trHeight w:val="320"/>
        </w:trPr>
        <w:tc>
          <w:tcPr>
            <w:tcW w:w="2830" w:type="dxa"/>
            <w:tcBorders>
              <w:top w:val="single" w:sz="8" w:space="0" w:color="auto"/>
              <w:left w:val="single" w:sz="8" w:space="0" w:color="auto"/>
              <w:bottom w:val="single" w:sz="8" w:space="0" w:color="auto"/>
              <w:right w:val="single" w:sz="4" w:space="0" w:color="auto"/>
            </w:tcBorders>
            <w:shd w:val="clear" w:color="auto" w:fill="auto"/>
            <w:vAlign w:val="center"/>
          </w:tcPr>
          <w:p w14:paraId="23078555" w14:textId="280A8BEF" w:rsidR="00207B02" w:rsidRPr="00F75B97" w:rsidRDefault="00207B02" w:rsidP="00207B02">
            <w:pPr>
              <w:spacing w:line="240" w:lineRule="auto"/>
              <w:jc w:val="right"/>
              <w:rPr>
                <w:rFonts w:eastAsia="Times New Roman" w:cstheme="minorHAnsi"/>
                <w:b/>
                <w:bCs/>
                <w:color w:val="000000"/>
                <w:lang w:eastAsia="ru-RU"/>
              </w:rPr>
            </w:pPr>
            <w:r w:rsidRPr="00F75B97">
              <w:rPr>
                <w:rFonts w:eastAsia="Times New Roman" w:cstheme="minorHAnsi"/>
                <w:b/>
                <w:bCs/>
                <w:color w:val="000000"/>
                <w:lang w:eastAsia="ru-RU"/>
              </w:rPr>
              <w:t>Total</w:t>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7292D91B" w14:textId="5133A136" w:rsidR="00207B02" w:rsidRPr="0080469F" w:rsidRDefault="0080469F" w:rsidP="00207B02">
            <w:pPr>
              <w:spacing w:line="240" w:lineRule="auto"/>
              <w:jc w:val="right"/>
              <w:rPr>
                <w:rFonts w:eastAsia="Times New Roman" w:cstheme="minorHAnsi"/>
                <w:color w:val="000000"/>
                <w:lang w:eastAsia="ru-RU"/>
              </w:rPr>
            </w:pPr>
            <w:r>
              <w:rPr>
                <w:rFonts w:eastAsia="Times New Roman" w:cstheme="minorHAnsi"/>
                <w:color w:val="000000"/>
                <w:lang w:eastAsia="ru-RU"/>
              </w:rPr>
              <w:t>909 624</w:t>
            </w:r>
          </w:p>
        </w:tc>
        <w:tc>
          <w:tcPr>
            <w:tcW w:w="1417" w:type="dxa"/>
            <w:tcBorders>
              <w:top w:val="single" w:sz="8" w:space="0" w:color="auto"/>
              <w:left w:val="nil"/>
              <w:bottom w:val="single" w:sz="8" w:space="0" w:color="auto"/>
              <w:right w:val="single" w:sz="4" w:space="0" w:color="auto"/>
            </w:tcBorders>
            <w:shd w:val="clear" w:color="auto" w:fill="auto"/>
            <w:noWrap/>
            <w:vAlign w:val="bottom"/>
          </w:tcPr>
          <w:p w14:paraId="069FC8BD" w14:textId="09E8E4AE" w:rsidR="00207B02" w:rsidRPr="00774E81" w:rsidRDefault="0080469F" w:rsidP="00207B02">
            <w:pPr>
              <w:spacing w:line="240" w:lineRule="auto"/>
              <w:jc w:val="right"/>
              <w:rPr>
                <w:rFonts w:eastAsia="Times New Roman" w:cstheme="minorHAnsi"/>
                <w:lang w:eastAsia="ru-RU"/>
              </w:rPr>
            </w:pPr>
            <w:r w:rsidRPr="00774E81">
              <w:rPr>
                <w:rFonts w:eastAsia="Times New Roman" w:cstheme="minorHAnsi"/>
                <w:lang w:eastAsia="ru-RU"/>
              </w:rPr>
              <w:t>4</w:t>
            </w:r>
            <w:r w:rsidR="00E606E5">
              <w:rPr>
                <w:rFonts w:eastAsia="Times New Roman" w:cstheme="minorHAnsi"/>
                <w:lang w:eastAsia="ru-RU"/>
              </w:rPr>
              <w:t>08</w:t>
            </w:r>
            <w:r w:rsidRPr="00774E81">
              <w:rPr>
                <w:rFonts w:eastAsia="Times New Roman" w:cstheme="minorHAnsi"/>
                <w:lang w:eastAsia="ru-RU"/>
              </w:rPr>
              <w:t xml:space="preserve"> </w:t>
            </w:r>
            <w:r w:rsidR="00E606E5">
              <w:rPr>
                <w:rFonts w:eastAsia="Times New Roman" w:cstheme="minorHAnsi"/>
                <w:lang w:eastAsia="ru-RU"/>
              </w:rPr>
              <w:t>214</w:t>
            </w:r>
          </w:p>
        </w:tc>
        <w:tc>
          <w:tcPr>
            <w:tcW w:w="1276" w:type="dxa"/>
            <w:tcBorders>
              <w:top w:val="single" w:sz="8" w:space="0" w:color="auto"/>
              <w:left w:val="nil"/>
              <w:bottom w:val="single" w:sz="8" w:space="0" w:color="auto"/>
              <w:right w:val="single" w:sz="4" w:space="0" w:color="auto"/>
            </w:tcBorders>
            <w:shd w:val="clear" w:color="auto" w:fill="auto"/>
            <w:noWrap/>
            <w:vAlign w:val="bottom"/>
          </w:tcPr>
          <w:p w14:paraId="3AE4ABBD" w14:textId="726F5FF4" w:rsidR="00207B02" w:rsidRPr="0080469F" w:rsidRDefault="0080469F" w:rsidP="00207B02">
            <w:pPr>
              <w:spacing w:line="240" w:lineRule="auto"/>
              <w:jc w:val="right"/>
              <w:rPr>
                <w:rFonts w:eastAsia="Times New Roman" w:cstheme="minorHAnsi"/>
                <w:color w:val="000000"/>
                <w:lang w:eastAsia="ru-RU"/>
              </w:rPr>
            </w:pPr>
            <w:r>
              <w:rPr>
                <w:rFonts w:eastAsia="Times New Roman" w:cstheme="minorHAnsi"/>
                <w:color w:val="000000"/>
                <w:lang w:eastAsia="ru-RU"/>
              </w:rPr>
              <w:t>4</w:t>
            </w:r>
            <w:r w:rsidR="00E606E5">
              <w:rPr>
                <w:rFonts w:eastAsia="Times New Roman" w:cstheme="minorHAnsi"/>
                <w:color w:val="000000"/>
                <w:lang w:eastAsia="ru-RU"/>
              </w:rPr>
              <w:t>4</w:t>
            </w:r>
            <w:r>
              <w:rPr>
                <w:rFonts w:eastAsia="Times New Roman" w:cstheme="minorHAnsi"/>
                <w:color w:val="000000"/>
                <w:lang w:eastAsia="ru-RU"/>
              </w:rPr>
              <w:t>.</w:t>
            </w:r>
            <w:r w:rsidR="00E606E5">
              <w:rPr>
                <w:rFonts w:eastAsia="Times New Roman" w:cstheme="minorHAnsi"/>
                <w:color w:val="000000"/>
                <w:lang w:eastAsia="ru-RU"/>
              </w:rPr>
              <w:t>88</w:t>
            </w:r>
            <w:r>
              <w:rPr>
                <w:rFonts w:eastAsia="Times New Roman" w:cstheme="minorHAnsi"/>
                <w:color w:val="000000"/>
                <w:lang w:eastAsia="ru-RU"/>
              </w:rPr>
              <w:t>%</w:t>
            </w:r>
          </w:p>
        </w:tc>
        <w:tc>
          <w:tcPr>
            <w:tcW w:w="1276" w:type="dxa"/>
            <w:tcBorders>
              <w:top w:val="single" w:sz="8" w:space="0" w:color="auto"/>
              <w:left w:val="nil"/>
              <w:bottom w:val="single" w:sz="8" w:space="0" w:color="auto"/>
              <w:right w:val="single" w:sz="4" w:space="0" w:color="auto"/>
            </w:tcBorders>
            <w:shd w:val="clear" w:color="auto" w:fill="auto"/>
            <w:noWrap/>
            <w:vAlign w:val="bottom"/>
          </w:tcPr>
          <w:p w14:paraId="719D4A86" w14:textId="1DB4ECF5" w:rsidR="00207B02" w:rsidRPr="00F015CC" w:rsidRDefault="00207B02" w:rsidP="00207B02">
            <w:pPr>
              <w:spacing w:line="240" w:lineRule="auto"/>
              <w:jc w:val="right"/>
              <w:rPr>
                <w:rFonts w:eastAsia="Times New Roman" w:cstheme="minorHAnsi"/>
                <w:lang w:val="ru-RU" w:eastAsia="ru-RU"/>
              </w:rPr>
            </w:pPr>
            <w:r w:rsidRPr="00F015CC">
              <w:rPr>
                <w:rFonts w:eastAsia="Times New Roman" w:cstheme="minorHAnsi"/>
                <w:lang w:val="ru-RU" w:eastAsia="ru-RU"/>
              </w:rPr>
              <w:t>1</w:t>
            </w:r>
            <w:r>
              <w:rPr>
                <w:rFonts w:eastAsia="Times New Roman" w:cstheme="minorHAnsi"/>
                <w:lang w:eastAsia="ru-RU"/>
              </w:rPr>
              <w:t xml:space="preserve"> </w:t>
            </w:r>
            <w:r w:rsidRPr="00F015CC">
              <w:rPr>
                <w:rFonts w:eastAsia="Times New Roman" w:cstheme="minorHAnsi"/>
                <w:lang w:val="ru-RU" w:eastAsia="ru-RU"/>
              </w:rPr>
              <w:t>411</w:t>
            </w:r>
            <w:r>
              <w:rPr>
                <w:rFonts w:eastAsia="Times New Roman" w:cstheme="minorHAnsi"/>
                <w:lang w:eastAsia="ru-RU"/>
              </w:rPr>
              <w:t xml:space="preserve"> </w:t>
            </w:r>
            <w:r w:rsidRPr="00F015CC">
              <w:rPr>
                <w:rFonts w:eastAsia="Times New Roman" w:cstheme="minorHAnsi"/>
                <w:lang w:val="ru-RU" w:eastAsia="ru-RU"/>
              </w:rPr>
              <w:t>000</w:t>
            </w: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3A40E0DB" w14:textId="55841E7A" w:rsidR="00207B02" w:rsidRPr="0080469F" w:rsidRDefault="0080469F" w:rsidP="00207B02">
            <w:pPr>
              <w:spacing w:line="240" w:lineRule="auto"/>
              <w:jc w:val="right"/>
              <w:rPr>
                <w:rFonts w:eastAsia="Times New Roman" w:cstheme="minorHAnsi"/>
                <w:color w:val="000000"/>
                <w:lang w:eastAsia="ru-RU"/>
              </w:rPr>
            </w:pPr>
            <w:r>
              <w:rPr>
                <w:rFonts w:eastAsia="Times New Roman" w:cstheme="minorHAnsi"/>
                <w:color w:val="000000"/>
                <w:lang w:eastAsia="ru-RU"/>
              </w:rPr>
              <w:t>2</w:t>
            </w:r>
            <w:r w:rsidR="00E606E5">
              <w:rPr>
                <w:rFonts w:eastAsia="Times New Roman" w:cstheme="minorHAnsi"/>
                <w:color w:val="000000"/>
                <w:lang w:eastAsia="ru-RU"/>
              </w:rPr>
              <w:t>8</w:t>
            </w:r>
            <w:r>
              <w:rPr>
                <w:rFonts w:eastAsia="Times New Roman" w:cstheme="minorHAnsi"/>
                <w:color w:val="000000"/>
                <w:lang w:eastAsia="ru-RU"/>
              </w:rPr>
              <w:t>.</w:t>
            </w:r>
            <w:r w:rsidR="00E606E5">
              <w:rPr>
                <w:rFonts w:eastAsia="Times New Roman" w:cstheme="minorHAnsi"/>
                <w:color w:val="000000"/>
                <w:lang w:eastAsia="ru-RU"/>
              </w:rPr>
              <w:t>93</w:t>
            </w:r>
            <w:r>
              <w:rPr>
                <w:rFonts w:eastAsia="Times New Roman" w:cstheme="minorHAnsi"/>
                <w:color w:val="000000"/>
                <w:lang w:eastAsia="ru-RU"/>
              </w:rPr>
              <w:t>%</w:t>
            </w:r>
          </w:p>
        </w:tc>
      </w:tr>
      <w:tr w:rsidR="00207B02" w:rsidRPr="00F015CC" w14:paraId="0E8167AC" w14:textId="77777777" w:rsidTr="000A27EE">
        <w:trPr>
          <w:trHeight w:val="300"/>
        </w:trPr>
        <w:tc>
          <w:tcPr>
            <w:tcW w:w="2830" w:type="dxa"/>
            <w:tcBorders>
              <w:top w:val="nil"/>
              <w:left w:val="nil"/>
              <w:bottom w:val="nil"/>
              <w:right w:val="nil"/>
            </w:tcBorders>
            <w:shd w:val="clear" w:color="auto" w:fill="auto"/>
            <w:noWrap/>
            <w:vAlign w:val="bottom"/>
            <w:hideMark/>
          </w:tcPr>
          <w:p w14:paraId="32D55E9E" w14:textId="77777777" w:rsidR="00207B02" w:rsidRPr="00F015CC" w:rsidRDefault="00207B02" w:rsidP="00207B02">
            <w:pPr>
              <w:spacing w:line="240" w:lineRule="auto"/>
              <w:jc w:val="right"/>
              <w:rPr>
                <w:rFonts w:eastAsia="Times New Roman" w:cstheme="minorHAnsi"/>
                <w:color w:val="000000"/>
                <w:lang w:val="ru-RU" w:eastAsia="ru-RU"/>
              </w:rPr>
            </w:pPr>
          </w:p>
        </w:tc>
        <w:tc>
          <w:tcPr>
            <w:tcW w:w="1418" w:type="dxa"/>
            <w:tcBorders>
              <w:top w:val="nil"/>
              <w:left w:val="nil"/>
              <w:bottom w:val="nil"/>
              <w:right w:val="nil"/>
            </w:tcBorders>
            <w:shd w:val="clear" w:color="auto" w:fill="auto"/>
            <w:noWrap/>
            <w:vAlign w:val="bottom"/>
            <w:hideMark/>
          </w:tcPr>
          <w:p w14:paraId="3E9BAE83" w14:textId="77777777" w:rsidR="00207B02" w:rsidRPr="00F015CC" w:rsidRDefault="00207B02" w:rsidP="00207B02">
            <w:pPr>
              <w:spacing w:line="240" w:lineRule="auto"/>
              <w:rPr>
                <w:rFonts w:eastAsia="Times New Roman" w:cstheme="minorHAnsi"/>
                <w:lang w:val="ru-RU" w:eastAsia="ru-RU"/>
              </w:rPr>
            </w:pPr>
          </w:p>
        </w:tc>
        <w:tc>
          <w:tcPr>
            <w:tcW w:w="1417" w:type="dxa"/>
            <w:tcBorders>
              <w:top w:val="nil"/>
              <w:left w:val="nil"/>
              <w:bottom w:val="nil"/>
              <w:right w:val="nil"/>
            </w:tcBorders>
            <w:shd w:val="clear" w:color="auto" w:fill="auto"/>
            <w:noWrap/>
            <w:vAlign w:val="bottom"/>
            <w:hideMark/>
          </w:tcPr>
          <w:p w14:paraId="7582ACA1" w14:textId="77777777" w:rsidR="00207B02" w:rsidRPr="00F015CC" w:rsidRDefault="00207B02" w:rsidP="00207B02">
            <w:pPr>
              <w:spacing w:line="240" w:lineRule="auto"/>
              <w:rPr>
                <w:rFonts w:eastAsia="Times New Roman" w:cstheme="minorHAnsi"/>
                <w:lang w:val="ru-RU" w:eastAsia="ru-RU"/>
              </w:rPr>
            </w:pPr>
          </w:p>
        </w:tc>
        <w:tc>
          <w:tcPr>
            <w:tcW w:w="1276" w:type="dxa"/>
            <w:tcBorders>
              <w:top w:val="nil"/>
              <w:left w:val="nil"/>
              <w:bottom w:val="nil"/>
              <w:right w:val="nil"/>
            </w:tcBorders>
            <w:shd w:val="clear" w:color="auto" w:fill="auto"/>
            <w:noWrap/>
            <w:vAlign w:val="bottom"/>
            <w:hideMark/>
          </w:tcPr>
          <w:p w14:paraId="3125A2E9" w14:textId="77777777" w:rsidR="00207B02" w:rsidRPr="00F015CC" w:rsidRDefault="00207B02" w:rsidP="00207B02">
            <w:pPr>
              <w:spacing w:line="240" w:lineRule="auto"/>
              <w:rPr>
                <w:rFonts w:eastAsia="Times New Roman" w:cstheme="minorHAnsi"/>
                <w:lang w:val="ru-RU" w:eastAsia="ru-RU"/>
              </w:rPr>
            </w:pPr>
          </w:p>
        </w:tc>
        <w:tc>
          <w:tcPr>
            <w:tcW w:w="1276" w:type="dxa"/>
            <w:tcBorders>
              <w:top w:val="nil"/>
              <w:left w:val="nil"/>
              <w:bottom w:val="nil"/>
              <w:right w:val="nil"/>
            </w:tcBorders>
            <w:shd w:val="clear" w:color="auto" w:fill="auto"/>
            <w:noWrap/>
            <w:vAlign w:val="bottom"/>
            <w:hideMark/>
          </w:tcPr>
          <w:p w14:paraId="0BE79964" w14:textId="77777777" w:rsidR="00207B02" w:rsidRPr="00F015CC" w:rsidRDefault="00207B02" w:rsidP="00207B02">
            <w:pPr>
              <w:spacing w:line="240" w:lineRule="auto"/>
              <w:rPr>
                <w:rFonts w:eastAsia="Times New Roman" w:cstheme="minorHAnsi"/>
                <w:lang w:val="ru-RU" w:eastAsia="ru-RU"/>
              </w:rPr>
            </w:pPr>
          </w:p>
        </w:tc>
        <w:tc>
          <w:tcPr>
            <w:tcW w:w="1134" w:type="dxa"/>
            <w:tcBorders>
              <w:top w:val="nil"/>
              <w:left w:val="nil"/>
              <w:bottom w:val="nil"/>
              <w:right w:val="nil"/>
            </w:tcBorders>
            <w:shd w:val="clear" w:color="auto" w:fill="auto"/>
            <w:noWrap/>
            <w:vAlign w:val="bottom"/>
            <w:hideMark/>
          </w:tcPr>
          <w:p w14:paraId="4EF45583" w14:textId="77777777" w:rsidR="00207B02" w:rsidRPr="00F015CC" w:rsidRDefault="00207B02" w:rsidP="00207B02">
            <w:pPr>
              <w:spacing w:line="240" w:lineRule="auto"/>
              <w:rPr>
                <w:rFonts w:eastAsia="Times New Roman" w:cstheme="minorHAnsi"/>
                <w:lang w:val="ru-RU" w:eastAsia="ru-RU"/>
              </w:rPr>
            </w:pPr>
          </w:p>
        </w:tc>
      </w:tr>
    </w:tbl>
    <w:p w14:paraId="706677E8" w14:textId="77777777" w:rsidR="00443826" w:rsidRDefault="005A4AEF" w:rsidP="005A4AEF">
      <w:pPr>
        <w:tabs>
          <w:tab w:val="left" w:pos="7452"/>
        </w:tabs>
        <w:outlineLvl w:val="0"/>
        <w:rPr>
          <w:rFonts w:eastAsia="Times New Roman"/>
          <w:color w:val="000000"/>
          <w:sz w:val="20"/>
          <w:szCs w:val="20"/>
        </w:rPr>
      </w:pPr>
      <w:r w:rsidRPr="005A4AEF">
        <w:rPr>
          <w:rFonts w:cstheme="minorHAnsi"/>
          <w:i/>
          <w:color w:val="000000"/>
          <w:sz w:val="20"/>
          <w:szCs w:val="20"/>
        </w:rPr>
        <w:t>* Note:</w:t>
      </w:r>
      <w:r w:rsidRPr="005A4AEF">
        <w:rPr>
          <w:rFonts w:eastAsia="Times New Roman"/>
          <w:color w:val="000000"/>
          <w:sz w:val="20"/>
          <w:szCs w:val="20"/>
        </w:rPr>
        <w:t xml:space="preserve">  2019 figures are not final and subject to change, as FY 2019 is not yet officially closed in UNDP Financial System Atlas</w:t>
      </w:r>
    </w:p>
    <w:p w14:paraId="31704DA2" w14:textId="77777777" w:rsidR="001A5BA9" w:rsidRDefault="001A5BA9" w:rsidP="005A4AEF">
      <w:pPr>
        <w:tabs>
          <w:tab w:val="left" w:pos="7452"/>
        </w:tabs>
        <w:outlineLvl w:val="0"/>
        <w:rPr>
          <w:rFonts w:eastAsia="Times New Roman"/>
          <w:color w:val="000000"/>
          <w:sz w:val="20"/>
          <w:szCs w:val="20"/>
        </w:rPr>
      </w:pPr>
    </w:p>
    <w:p w14:paraId="266C785B" w14:textId="77777777" w:rsidR="001A5BA9" w:rsidRDefault="001A5BA9" w:rsidP="005A4AEF">
      <w:pPr>
        <w:tabs>
          <w:tab w:val="left" w:pos="7452"/>
        </w:tabs>
        <w:outlineLvl w:val="0"/>
        <w:rPr>
          <w:rFonts w:eastAsia="Times New Roman"/>
          <w:color w:val="000000"/>
          <w:sz w:val="20"/>
          <w:szCs w:val="20"/>
        </w:rPr>
      </w:pPr>
    </w:p>
    <w:p w14:paraId="66DBC6AD" w14:textId="4C65401B" w:rsidR="001A5BA9" w:rsidRPr="005A4AEF" w:rsidRDefault="001A5BA9" w:rsidP="005A4AEF">
      <w:pPr>
        <w:tabs>
          <w:tab w:val="left" w:pos="7452"/>
        </w:tabs>
        <w:outlineLvl w:val="0"/>
        <w:rPr>
          <w:rFonts w:cstheme="minorHAnsi"/>
          <w:i/>
          <w:color w:val="000000"/>
          <w:sz w:val="20"/>
          <w:szCs w:val="20"/>
        </w:rPr>
        <w:sectPr w:rsidR="001A5BA9" w:rsidRPr="005A4AEF" w:rsidSect="005206D4">
          <w:footerReference w:type="default" r:id="rId15"/>
          <w:pgSz w:w="12240" w:h="15840"/>
          <w:pgMar w:top="1440" w:right="1325" w:bottom="1276" w:left="1418" w:header="720" w:footer="720" w:gutter="0"/>
          <w:cols w:space="720"/>
          <w:docGrid w:linePitch="360"/>
        </w:sectPr>
      </w:pPr>
    </w:p>
    <w:tbl>
      <w:tblPr>
        <w:tblW w:w="13740" w:type="dxa"/>
        <w:tblLook w:val="04A0" w:firstRow="1" w:lastRow="0" w:firstColumn="1" w:lastColumn="0" w:noHBand="0" w:noVBand="1"/>
      </w:tblPr>
      <w:tblGrid>
        <w:gridCol w:w="1550"/>
        <w:gridCol w:w="2551"/>
        <w:gridCol w:w="851"/>
        <w:gridCol w:w="648"/>
        <w:gridCol w:w="627"/>
        <w:gridCol w:w="993"/>
        <w:gridCol w:w="992"/>
        <w:gridCol w:w="5528"/>
      </w:tblGrid>
      <w:tr w:rsidR="001A5BA9" w:rsidRPr="00805707" w14:paraId="55A02F38" w14:textId="77777777" w:rsidTr="007D6989">
        <w:trPr>
          <w:trHeight w:val="406"/>
        </w:trPr>
        <w:tc>
          <w:tcPr>
            <w:tcW w:w="13740" w:type="dxa"/>
            <w:gridSpan w:val="8"/>
            <w:tcBorders>
              <w:bottom w:val="single" w:sz="8" w:space="0" w:color="auto"/>
            </w:tcBorders>
            <w:shd w:val="clear" w:color="auto" w:fill="auto"/>
            <w:noWrap/>
            <w:vAlign w:val="center"/>
          </w:tcPr>
          <w:p w14:paraId="32D5F837" w14:textId="49D23A4C" w:rsidR="001A5BA9" w:rsidRPr="00805707" w:rsidRDefault="00771883" w:rsidP="00771883">
            <w:pPr>
              <w:spacing w:after="0" w:line="240" w:lineRule="auto"/>
              <w:rPr>
                <w:rFonts w:ascii="Calibri" w:eastAsia="Times New Roman" w:hAnsi="Calibri" w:cs="Calibri"/>
                <w:color w:val="000000"/>
                <w:sz w:val="16"/>
                <w:szCs w:val="16"/>
                <w:lang/>
              </w:rPr>
            </w:pPr>
            <w:r w:rsidRPr="007D6989">
              <w:rPr>
                <w:rFonts w:eastAsia="Times New Roman" w:cstheme="minorHAnsi"/>
                <w:b/>
                <w:color w:val="000000"/>
              </w:rPr>
              <w:t>Attachment 1. Project Performance Data</w:t>
            </w:r>
          </w:p>
        </w:tc>
      </w:tr>
      <w:tr w:rsidR="00805707" w:rsidRPr="00805707" w14:paraId="08AE8FB4" w14:textId="77777777" w:rsidTr="001A5BA9">
        <w:trPr>
          <w:trHeight w:val="1515"/>
        </w:trPr>
        <w:tc>
          <w:tcPr>
            <w:tcW w:w="155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AEB18"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EXPECTED OUTPUTS</w:t>
            </w:r>
          </w:p>
        </w:tc>
        <w:tc>
          <w:tcPr>
            <w:tcW w:w="255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9C246"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OUTPUT INDICATORS</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CEC701"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DATA SOURCE</w:t>
            </w:r>
          </w:p>
        </w:tc>
        <w:tc>
          <w:tcPr>
            <w:tcW w:w="1275" w:type="dxa"/>
            <w:gridSpan w:val="2"/>
            <w:tcBorders>
              <w:top w:val="single" w:sz="8" w:space="0" w:color="auto"/>
              <w:left w:val="nil"/>
              <w:bottom w:val="single" w:sz="8" w:space="0" w:color="auto"/>
              <w:right w:val="single" w:sz="8" w:space="0" w:color="auto"/>
            </w:tcBorders>
            <w:shd w:val="clear" w:color="auto" w:fill="auto"/>
            <w:noWrap/>
            <w:vAlign w:val="center"/>
            <w:hideMark/>
          </w:tcPr>
          <w:p w14:paraId="6EB54774"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BASELINE</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3B832208"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Indicators for the previous year, if different from the base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0BD4E2C"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Objective for the reporting year</w:t>
            </w:r>
          </w:p>
        </w:tc>
        <w:tc>
          <w:tcPr>
            <w:tcW w:w="552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96CA97A"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Actual value for the reported year</w:t>
            </w:r>
          </w:p>
        </w:tc>
      </w:tr>
      <w:tr w:rsidR="00805707" w:rsidRPr="00805707" w14:paraId="51FAB9F7" w14:textId="77777777" w:rsidTr="001A5BA9">
        <w:trPr>
          <w:trHeight w:val="315"/>
        </w:trPr>
        <w:tc>
          <w:tcPr>
            <w:tcW w:w="1550" w:type="dxa"/>
            <w:vMerge/>
            <w:tcBorders>
              <w:top w:val="single" w:sz="8" w:space="0" w:color="auto"/>
              <w:left w:val="single" w:sz="8" w:space="0" w:color="auto"/>
              <w:bottom w:val="single" w:sz="8" w:space="0" w:color="auto"/>
              <w:right w:val="single" w:sz="8" w:space="0" w:color="auto"/>
            </w:tcBorders>
            <w:vAlign w:val="center"/>
            <w:hideMark/>
          </w:tcPr>
          <w:p w14:paraId="2BCBB2D3" w14:textId="77777777" w:rsidR="00805707" w:rsidRPr="00805707" w:rsidRDefault="00805707" w:rsidP="00805707">
            <w:pPr>
              <w:spacing w:after="0" w:line="240" w:lineRule="auto"/>
              <w:rPr>
                <w:rFonts w:ascii="Calibri" w:eastAsia="Times New Roman" w:hAnsi="Calibri" w:cs="Calibri"/>
                <w:color w:val="000000"/>
                <w:sz w:val="16"/>
                <w:szCs w:val="16"/>
                <w:lang/>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14:paraId="4098189A" w14:textId="77777777" w:rsidR="00805707" w:rsidRPr="00805707" w:rsidRDefault="00805707" w:rsidP="00805707">
            <w:pPr>
              <w:spacing w:after="0" w:line="240" w:lineRule="auto"/>
              <w:rPr>
                <w:rFonts w:ascii="Calibri" w:eastAsia="Times New Roman" w:hAnsi="Calibri" w:cs="Calibri"/>
                <w:color w:val="000000"/>
                <w:sz w:val="16"/>
                <w:szCs w:val="16"/>
                <w:lang/>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14:paraId="25F49E85" w14:textId="77777777" w:rsidR="00805707" w:rsidRPr="00805707" w:rsidRDefault="00805707" w:rsidP="00805707">
            <w:pPr>
              <w:spacing w:after="0" w:line="240" w:lineRule="auto"/>
              <w:rPr>
                <w:rFonts w:ascii="Calibri" w:eastAsia="Times New Roman" w:hAnsi="Calibri" w:cs="Calibri"/>
                <w:color w:val="000000"/>
                <w:sz w:val="16"/>
                <w:szCs w:val="16"/>
                <w:lang/>
              </w:rPr>
            </w:pPr>
          </w:p>
        </w:tc>
        <w:tc>
          <w:tcPr>
            <w:tcW w:w="648" w:type="dxa"/>
            <w:tcBorders>
              <w:top w:val="nil"/>
              <w:left w:val="nil"/>
              <w:bottom w:val="single" w:sz="8" w:space="0" w:color="auto"/>
              <w:right w:val="single" w:sz="4" w:space="0" w:color="auto"/>
            </w:tcBorders>
            <w:shd w:val="clear" w:color="auto" w:fill="auto"/>
            <w:noWrap/>
            <w:vAlign w:val="center"/>
            <w:hideMark/>
          </w:tcPr>
          <w:p w14:paraId="34720E3D"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VALUE</w:t>
            </w:r>
          </w:p>
        </w:tc>
        <w:tc>
          <w:tcPr>
            <w:tcW w:w="627" w:type="dxa"/>
            <w:tcBorders>
              <w:top w:val="nil"/>
              <w:left w:val="nil"/>
              <w:bottom w:val="single" w:sz="8" w:space="0" w:color="auto"/>
              <w:right w:val="single" w:sz="8" w:space="0" w:color="auto"/>
            </w:tcBorders>
            <w:shd w:val="clear" w:color="auto" w:fill="auto"/>
            <w:noWrap/>
            <w:vAlign w:val="center"/>
            <w:hideMark/>
          </w:tcPr>
          <w:p w14:paraId="1698FD4C"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YEAR</w:t>
            </w:r>
          </w:p>
        </w:tc>
        <w:tc>
          <w:tcPr>
            <w:tcW w:w="993" w:type="dxa"/>
            <w:tcBorders>
              <w:top w:val="nil"/>
              <w:left w:val="nil"/>
              <w:bottom w:val="single" w:sz="8" w:space="0" w:color="auto"/>
              <w:right w:val="nil"/>
            </w:tcBorders>
            <w:shd w:val="clear" w:color="auto" w:fill="auto"/>
            <w:vAlign w:val="center"/>
            <w:hideMark/>
          </w:tcPr>
          <w:p w14:paraId="063A1CDD"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 </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14:paraId="7E71EC00"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2019</w:t>
            </w:r>
          </w:p>
        </w:tc>
        <w:tc>
          <w:tcPr>
            <w:tcW w:w="5528" w:type="dxa"/>
            <w:vMerge/>
            <w:tcBorders>
              <w:top w:val="single" w:sz="8" w:space="0" w:color="auto"/>
              <w:left w:val="single" w:sz="8" w:space="0" w:color="auto"/>
              <w:bottom w:val="single" w:sz="8" w:space="0" w:color="auto"/>
              <w:right w:val="single" w:sz="8" w:space="0" w:color="auto"/>
            </w:tcBorders>
            <w:vAlign w:val="center"/>
            <w:hideMark/>
          </w:tcPr>
          <w:p w14:paraId="7377B229" w14:textId="77777777" w:rsidR="00805707" w:rsidRPr="00805707" w:rsidRDefault="00805707" w:rsidP="00805707">
            <w:pPr>
              <w:spacing w:after="0" w:line="240" w:lineRule="auto"/>
              <w:rPr>
                <w:rFonts w:ascii="Calibri" w:eastAsia="Times New Roman" w:hAnsi="Calibri" w:cs="Calibri"/>
                <w:color w:val="000000"/>
                <w:sz w:val="16"/>
                <w:szCs w:val="16"/>
                <w:lang/>
              </w:rPr>
            </w:pPr>
          </w:p>
        </w:tc>
      </w:tr>
      <w:tr w:rsidR="00805707" w:rsidRPr="00805707" w14:paraId="05E943D2" w14:textId="77777777" w:rsidTr="001A5BA9">
        <w:trPr>
          <w:trHeight w:val="1239"/>
        </w:trPr>
        <w:tc>
          <w:tcPr>
            <w:tcW w:w="1550" w:type="dxa"/>
            <w:vMerge w:val="restart"/>
            <w:tcBorders>
              <w:top w:val="nil"/>
              <w:left w:val="single" w:sz="8" w:space="0" w:color="auto"/>
              <w:bottom w:val="single" w:sz="8" w:space="0" w:color="auto"/>
              <w:right w:val="single" w:sz="8" w:space="0" w:color="auto"/>
            </w:tcBorders>
            <w:shd w:val="clear" w:color="auto" w:fill="auto"/>
            <w:hideMark/>
          </w:tcPr>
          <w:p w14:paraId="1ABD284D"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b/>
                <w:bCs/>
                <w:color w:val="000000"/>
                <w:sz w:val="16"/>
                <w:szCs w:val="16"/>
                <w:lang/>
              </w:rPr>
              <w:t>Output 1</w:t>
            </w:r>
            <w:r w:rsidRPr="00805707">
              <w:rPr>
                <w:rFonts w:ascii="Calibri" w:eastAsia="Times New Roman" w:hAnsi="Calibri" w:cs="Calibri"/>
                <w:color w:val="000000"/>
                <w:sz w:val="16"/>
                <w:szCs w:val="16"/>
                <w:lang/>
              </w:rPr>
              <w:br/>
              <w:t>Enhanced capacity of financial institutions and business entities in investment development projects preparation and implementation in the Kyrgyz Republic</w:t>
            </w:r>
          </w:p>
        </w:tc>
        <w:tc>
          <w:tcPr>
            <w:tcW w:w="2551" w:type="dxa"/>
            <w:tcBorders>
              <w:top w:val="nil"/>
              <w:left w:val="nil"/>
              <w:bottom w:val="single" w:sz="8" w:space="0" w:color="auto"/>
              <w:right w:val="single" w:sz="8" w:space="0" w:color="auto"/>
            </w:tcBorders>
            <w:shd w:val="clear" w:color="auto" w:fill="auto"/>
            <w:hideMark/>
          </w:tcPr>
          <w:p w14:paraId="65BFD734"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b/>
                <w:bCs/>
                <w:color w:val="000000"/>
                <w:sz w:val="16"/>
                <w:szCs w:val="16"/>
                <w:lang/>
              </w:rPr>
              <w:t xml:space="preserve">1.1 </w:t>
            </w:r>
            <w:r w:rsidRPr="00805707">
              <w:rPr>
                <w:rFonts w:ascii="Calibri" w:eastAsia="Times New Roman" w:hAnsi="Calibri" w:cs="Calibri"/>
                <w:color w:val="000000"/>
                <w:sz w:val="16"/>
                <w:szCs w:val="16"/>
                <w:lang/>
              </w:rPr>
              <w:t>Number of workshops and trainings</w:t>
            </w:r>
            <w:r w:rsidRPr="00805707">
              <w:rPr>
                <w:rFonts w:ascii="Calibri" w:eastAsia="Times New Roman" w:hAnsi="Calibri" w:cs="Calibri"/>
                <w:color w:val="000000"/>
                <w:sz w:val="16"/>
                <w:szCs w:val="16"/>
                <w:lang/>
              </w:rPr>
              <w:br/>
              <w:t>for potential borrowers of the RKDF preferably with no less than 30% women-borrowers</w:t>
            </w:r>
          </w:p>
        </w:tc>
        <w:tc>
          <w:tcPr>
            <w:tcW w:w="851" w:type="dxa"/>
            <w:tcBorders>
              <w:top w:val="nil"/>
              <w:left w:val="nil"/>
              <w:bottom w:val="single" w:sz="8" w:space="0" w:color="auto"/>
              <w:right w:val="single" w:sz="8" w:space="0" w:color="auto"/>
            </w:tcBorders>
            <w:shd w:val="clear" w:color="auto" w:fill="auto"/>
            <w:noWrap/>
            <w:hideMark/>
          </w:tcPr>
          <w:p w14:paraId="0BAFDFCD"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Project Report</w:t>
            </w:r>
          </w:p>
        </w:tc>
        <w:tc>
          <w:tcPr>
            <w:tcW w:w="648" w:type="dxa"/>
            <w:tcBorders>
              <w:top w:val="nil"/>
              <w:left w:val="nil"/>
              <w:bottom w:val="single" w:sz="8" w:space="0" w:color="auto"/>
              <w:right w:val="single" w:sz="4" w:space="0" w:color="auto"/>
            </w:tcBorders>
            <w:shd w:val="clear" w:color="auto" w:fill="auto"/>
            <w:noWrap/>
            <w:hideMark/>
          </w:tcPr>
          <w:p w14:paraId="75298340" w14:textId="77777777" w:rsidR="00805707" w:rsidRPr="00805707" w:rsidRDefault="00805707" w:rsidP="00805707">
            <w:pPr>
              <w:spacing w:after="0" w:line="240" w:lineRule="auto"/>
              <w:jc w:val="right"/>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0</w:t>
            </w:r>
          </w:p>
        </w:tc>
        <w:tc>
          <w:tcPr>
            <w:tcW w:w="627" w:type="dxa"/>
            <w:tcBorders>
              <w:top w:val="nil"/>
              <w:left w:val="nil"/>
              <w:bottom w:val="single" w:sz="8" w:space="0" w:color="auto"/>
              <w:right w:val="single" w:sz="8" w:space="0" w:color="auto"/>
            </w:tcBorders>
            <w:shd w:val="clear" w:color="auto" w:fill="auto"/>
            <w:noWrap/>
            <w:hideMark/>
          </w:tcPr>
          <w:p w14:paraId="549D2EE7" w14:textId="77777777" w:rsidR="00805707" w:rsidRPr="00805707" w:rsidRDefault="00805707" w:rsidP="00805707">
            <w:pPr>
              <w:spacing w:after="0" w:line="240" w:lineRule="auto"/>
              <w:jc w:val="right"/>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2017</w:t>
            </w:r>
          </w:p>
        </w:tc>
        <w:tc>
          <w:tcPr>
            <w:tcW w:w="993" w:type="dxa"/>
            <w:tcBorders>
              <w:top w:val="nil"/>
              <w:left w:val="nil"/>
              <w:bottom w:val="single" w:sz="8" w:space="0" w:color="auto"/>
              <w:right w:val="nil"/>
            </w:tcBorders>
            <w:shd w:val="clear" w:color="auto" w:fill="auto"/>
            <w:noWrap/>
            <w:hideMark/>
          </w:tcPr>
          <w:p w14:paraId="2D1D291D"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 xml:space="preserve">   - </w:t>
            </w:r>
          </w:p>
        </w:tc>
        <w:tc>
          <w:tcPr>
            <w:tcW w:w="992" w:type="dxa"/>
            <w:tcBorders>
              <w:top w:val="nil"/>
              <w:left w:val="single" w:sz="4" w:space="0" w:color="auto"/>
              <w:bottom w:val="single" w:sz="8" w:space="0" w:color="auto"/>
              <w:right w:val="single" w:sz="4" w:space="0" w:color="auto"/>
            </w:tcBorders>
            <w:shd w:val="clear" w:color="auto" w:fill="auto"/>
            <w:noWrap/>
            <w:hideMark/>
          </w:tcPr>
          <w:p w14:paraId="52BF052A" w14:textId="77777777" w:rsidR="00805707" w:rsidRPr="00805707" w:rsidRDefault="00805707" w:rsidP="00805707">
            <w:pPr>
              <w:spacing w:after="0" w:line="240" w:lineRule="auto"/>
              <w:jc w:val="center"/>
              <w:rPr>
                <w:rFonts w:ascii="Calibri" w:eastAsia="Times New Roman" w:hAnsi="Calibri" w:cs="Calibri"/>
                <w:sz w:val="16"/>
                <w:szCs w:val="16"/>
                <w:lang/>
              </w:rPr>
            </w:pPr>
            <w:r w:rsidRPr="00805707">
              <w:rPr>
                <w:rFonts w:ascii="Calibri" w:eastAsia="Times New Roman" w:hAnsi="Calibri" w:cs="Calibri"/>
                <w:sz w:val="16"/>
                <w:szCs w:val="16"/>
                <w:lang/>
              </w:rPr>
              <w:t>1</w:t>
            </w:r>
          </w:p>
        </w:tc>
        <w:tc>
          <w:tcPr>
            <w:tcW w:w="5528" w:type="dxa"/>
            <w:tcBorders>
              <w:top w:val="nil"/>
              <w:left w:val="single" w:sz="8" w:space="0" w:color="auto"/>
              <w:bottom w:val="single" w:sz="8" w:space="0" w:color="auto"/>
              <w:right w:val="single" w:sz="8" w:space="0" w:color="auto"/>
            </w:tcBorders>
            <w:shd w:val="clear" w:color="auto" w:fill="auto"/>
            <w:hideMark/>
          </w:tcPr>
          <w:p w14:paraId="2AE2DCC3" w14:textId="77777777" w:rsidR="00C02FA2" w:rsidRDefault="00C02FA2" w:rsidP="00805707">
            <w:pPr>
              <w:spacing w:after="0" w:line="240" w:lineRule="auto"/>
              <w:rPr>
                <w:rFonts w:ascii="Calibri" w:eastAsia="Times New Roman" w:hAnsi="Calibri" w:cs="Calibri"/>
                <w:color w:val="000000"/>
                <w:sz w:val="16"/>
                <w:szCs w:val="16"/>
                <w:lang/>
              </w:rPr>
            </w:pPr>
            <w:r>
              <w:rPr>
                <w:rFonts w:ascii="Calibri" w:eastAsia="Times New Roman" w:hAnsi="Calibri" w:cs="Calibri"/>
                <w:color w:val="000000"/>
                <w:sz w:val="16"/>
                <w:szCs w:val="16"/>
                <w:lang/>
              </w:rPr>
              <w:t xml:space="preserve">4 trainings and workshops have been conducted, including: </w:t>
            </w:r>
          </w:p>
          <w:p w14:paraId="05360EFA" w14:textId="538F514F"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 xml:space="preserve">1. In August 2019, the EMPRETEC training workshop took place with participation of 28 participants, most of which were </w:t>
            </w:r>
            <w:r w:rsidR="00591D29" w:rsidRPr="00805707">
              <w:rPr>
                <w:rFonts w:ascii="Calibri" w:eastAsia="Times New Roman" w:hAnsi="Calibri" w:cs="Calibri"/>
                <w:color w:val="000000"/>
                <w:sz w:val="16"/>
                <w:szCs w:val="16"/>
                <w:lang/>
              </w:rPr>
              <w:t>entrepreneurs</w:t>
            </w:r>
            <w:r w:rsidRPr="00805707">
              <w:rPr>
                <w:rFonts w:ascii="Calibri" w:eastAsia="Times New Roman" w:hAnsi="Calibri" w:cs="Calibri"/>
                <w:color w:val="000000"/>
                <w:sz w:val="16"/>
                <w:szCs w:val="16"/>
                <w:lang/>
              </w:rPr>
              <w:t xml:space="preserve">. The participants included the RKDF clients as well                                                  </w:t>
            </w:r>
            <w:r w:rsidR="00EF358D">
              <w:rPr>
                <w:rFonts w:ascii="Calibri" w:eastAsia="Times New Roman" w:hAnsi="Calibri" w:cs="Calibri"/>
                <w:color w:val="000000"/>
                <w:sz w:val="16"/>
                <w:szCs w:val="16"/>
                <w:lang/>
              </w:rPr>
              <w:t xml:space="preserve">                                                              </w:t>
            </w:r>
            <w:r w:rsidRPr="00805707">
              <w:rPr>
                <w:rFonts w:ascii="Calibri" w:eastAsia="Times New Roman" w:hAnsi="Calibri" w:cs="Calibri"/>
                <w:color w:val="000000"/>
                <w:sz w:val="16"/>
                <w:szCs w:val="16"/>
                <w:lang/>
              </w:rPr>
              <w:t xml:space="preserve"> 2. In September 2019, 3 trainings on RKDF Start-up financing program have been conducted for </w:t>
            </w:r>
            <w:r w:rsidR="00591D29" w:rsidRPr="00805707">
              <w:rPr>
                <w:rFonts w:ascii="Calibri" w:eastAsia="Times New Roman" w:hAnsi="Calibri" w:cs="Calibri"/>
                <w:color w:val="000000"/>
                <w:sz w:val="16"/>
                <w:szCs w:val="16"/>
                <w:lang/>
              </w:rPr>
              <w:t>entrepreneurs</w:t>
            </w:r>
            <w:r w:rsidRPr="00805707">
              <w:rPr>
                <w:rFonts w:ascii="Calibri" w:eastAsia="Times New Roman" w:hAnsi="Calibri" w:cs="Calibri"/>
                <w:color w:val="000000"/>
                <w:sz w:val="16"/>
                <w:szCs w:val="16"/>
                <w:lang/>
              </w:rPr>
              <w:t xml:space="preserve"> in </w:t>
            </w:r>
            <w:proofErr w:type="spellStart"/>
            <w:r w:rsidRPr="00805707">
              <w:rPr>
                <w:rFonts w:ascii="Calibri" w:eastAsia="Times New Roman" w:hAnsi="Calibri" w:cs="Calibri"/>
                <w:color w:val="000000"/>
                <w:sz w:val="16"/>
                <w:szCs w:val="16"/>
                <w:lang/>
              </w:rPr>
              <w:t>Naryn</w:t>
            </w:r>
            <w:proofErr w:type="spellEnd"/>
            <w:r w:rsidRPr="00805707">
              <w:rPr>
                <w:rFonts w:ascii="Calibri" w:eastAsia="Times New Roman" w:hAnsi="Calibri" w:cs="Calibri"/>
                <w:color w:val="000000"/>
                <w:sz w:val="16"/>
                <w:szCs w:val="16"/>
                <w:lang/>
              </w:rPr>
              <w:t xml:space="preserve">, </w:t>
            </w:r>
            <w:proofErr w:type="spellStart"/>
            <w:r w:rsidRPr="00805707">
              <w:rPr>
                <w:rFonts w:ascii="Calibri" w:eastAsia="Times New Roman" w:hAnsi="Calibri" w:cs="Calibri"/>
                <w:color w:val="000000"/>
                <w:sz w:val="16"/>
                <w:szCs w:val="16"/>
                <w:lang/>
              </w:rPr>
              <w:t>Batken</w:t>
            </w:r>
            <w:proofErr w:type="spellEnd"/>
            <w:r w:rsidRPr="00805707">
              <w:rPr>
                <w:rFonts w:ascii="Calibri" w:eastAsia="Times New Roman" w:hAnsi="Calibri" w:cs="Calibri"/>
                <w:color w:val="000000"/>
                <w:sz w:val="16"/>
                <w:szCs w:val="16"/>
                <w:lang/>
              </w:rPr>
              <w:t xml:space="preserve"> and Talas oblasts. </w:t>
            </w:r>
          </w:p>
        </w:tc>
      </w:tr>
      <w:tr w:rsidR="00805707" w:rsidRPr="00805707" w14:paraId="0CCE6448" w14:textId="77777777" w:rsidTr="001A5BA9">
        <w:trPr>
          <w:trHeight w:val="822"/>
        </w:trPr>
        <w:tc>
          <w:tcPr>
            <w:tcW w:w="1550" w:type="dxa"/>
            <w:vMerge/>
            <w:tcBorders>
              <w:top w:val="nil"/>
              <w:left w:val="single" w:sz="8" w:space="0" w:color="auto"/>
              <w:bottom w:val="single" w:sz="8" w:space="0" w:color="auto"/>
              <w:right w:val="single" w:sz="8" w:space="0" w:color="auto"/>
            </w:tcBorders>
            <w:vAlign w:val="center"/>
            <w:hideMark/>
          </w:tcPr>
          <w:p w14:paraId="60DB8F34" w14:textId="77777777" w:rsidR="00805707" w:rsidRPr="00805707" w:rsidRDefault="00805707" w:rsidP="00805707">
            <w:pPr>
              <w:spacing w:after="0" w:line="240" w:lineRule="auto"/>
              <w:rPr>
                <w:rFonts w:ascii="Calibri" w:eastAsia="Times New Roman" w:hAnsi="Calibri" w:cs="Calibri"/>
                <w:color w:val="000000"/>
                <w:sz w:val="16"/>
                <w:szCs w:val="16"/>
                <w:lang/>
              </w:rPr>
            </w:pPr>
          </w:p>
        </w:tc>
        <w:tc>
          <w:tcPr>
            <w:tcW w:w="2551" w:type="dxa"/>
            <w:tcBorders>
              <w:top w:val="nil"/>
              <w:left w:val="nil"/>
              <w:bottom w:val="single" w:sz="8" w:space="0" w:color="auto"/>
              <w:right w:val="single" w:sz="8" w:space="0" w:color="auto"/>
            </w:tcBorders>
            <w:shd w:val="clear" w:color="auto" w:fill="auto"/>
            <w:hideMark/>
          </w:tcPr>
          <w:p w14:paraId="62119568" w14:textId="6BD0B64D"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b/>
                <w:bCs/>
                <w:color w:val="000000"/>
                <w:sz w:val="16"/>
                <w:szCs w:val="16"/>
                <w:lang/>
              </w:rPr>
              <w:t xml:space="preserve">1.2 </w:t>
            </w:r>
            <w:r w:rsidRPr="00805707">
              <w:rPr>
                <w:rFonts w:ascii="Calibri" w:eastAsia="Times New Roman" w:hAnsi="Calibri" w:cs="Calibri"/>
                <w:color w:val="000000"/>
                <w:sz w:val="16"/>
                <w:szCs w:val="16"/>
                <w:lang/>
              </w:rPr>
              <w:t>Number of gender-sensitive pre-</w:t>
            </w:r>
            <w:r w:rsidR="00591D29" w:rsidRPr="00805707">
              <w:rPr>
                <w:rFonts w:ascii="Calibri" w:eastAsia="Times New Roman" w:hAnsi="Calibri" w:cs="Calibri"/>
                <w:color w:val="000000"/>
                <w:sz w:val="16"/>
                <w:szCs w:val="16"/>
                <w:lang/>
              </w:rPr>
              <w:t>feasibility</w:t>
            </w:r>
            <w:r w:rsidRPr="00805707">
              <w:rPr>
                <w:rFonts w:ascii="Calibri" w:eastAsia="Times New Roman" w:hAnsi="Calibri" w:cs="Calibri"/>
                <w:color w:val="000000"/>
                <w:sz w:val="16"/>
                <w:szCs w:val="16"/>
                <w:lang/>
              </w:rPr>
              <w:t xml:space="preserve"> studies, business plans, assessments developed under the technical assistance to potential borrowers of the RKDF</w:t>
            </w:r>
          </w:p>
        </w:tc>
        <w:tc>
          <w:tcPr>
            <w:tcW w:w="851" w:type="dxa"/>
            <w:tcBorders>
              <w:top w:val="nil"/>
              <w:left w:val="nil"/>
              <w:bottom w:val="single" w:sz="8" w:space="0" w:color="auto"/>
              <w:right w:val="single" w:sz="8" w:space="0" w:color="auto"/>
            </w:tcBorders>
            <w:shd w:val="clear" w:color="auto" w:fill="auto"/>
            <w:noWrap/>
            <w:hideMark/>
          </w:tcPr>
          <w:p w14:paraId="579D969D"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Project Report</w:t>
            </w:r>
          </w:p>
        </w:tc>
        <w:tc>
          <w:tcPr>
            <w:tcW w:w="648" w:type="dxa"/>
            <w:tcBorders>
              <w:top w:val="nil"/>
              <w:left w:val="nil"/>
              <w:bottom w:val="single" w:sz="8" w:space="0" w:color="auto"/>
              <w:right w:val="single" w:sz="4" w:space="0" w:color="auto"/>
            </w:tcBorders>
            <w:shd w:val="clear" w:color="auto" w:fill="auto"/>
            <w:noWrap/>
            <w:hideMark/>
          </w:tcPr>
          <w:p w14:paraId="53A7EB16" w14:textId="77777777" w:rsidR="00805707" w:rsidRPr="00805707" w:rsidRDefault="00805707" w:rsidP="00805707">
            <w:pPr>
              <w:spacing w:after="0" w:line="240" w:lineRule="auto"/>
              <w:jc w:val="right"/>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0</w:t>
            </w:r>
          </w:p>
        </w:tc>
        <w:tc>
          <w:tcPr>
            <w:tcW w:w="627" w:type="dxa"/>
            <w:tcBorders>
              <w:top w:val="nil"/>
              <w:left w:val="nil"/>
              <w:bottom w:val="single" w:sz="8" w:space="0" w:color="auto"/>
              <w:right w:val="single" w:sz="8" w:space="0" w:color="auto"/>
            </w:tcBorders>
            <w:shd w:val="clear" w:color="auto" w:fill="auto"/>
            <w:noWrap/>
            <w:hideMark/>
          </w:tcPr>
          <w:p w14:paraId="6BF293F7" w14:textId="77777777" w:rsidR="00805707" w:rsidRPr="00805707" w:rsidRDefault="00805707" w:rsidP="00805707">
            <w:pPr>
              <w:spacing w:after="0" w:line="240" w:lineRule="auto"/>
              <w:jc w:val="right"/>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2017</w:t>
            </w:r>
          </w:p>
        </w:tc>
        <w:tc>
          <w:tcPr>
            <w:tcW w:w="993" w:type="dxa"/>
            <w:tcBorders>
              <w:top w:val="nil"/>
              <w:left w:val="nil"/>
              <w:bottom w:val="single" w:sz="8" w:space="0" w:color="auto"/>
              <w:right w:val="nil"/>
            </w:tcBorders>
            <w:shd w:val="clear" w:color="auto" w:fill="auto"/>
            <w:noWrap/>
            <w:hideMark/>
          </w:tcPr>
          <w:p w14:paraId="542356ED"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 xml:space="preserve">  -</w:t>
            </w:r>
          </w:p>
        </w:tc>
        <w:tc>
          <w:tcPr>
            <w:tcW w:w="992" w:type="dxa"/>
            <w:tcBorders>
              <w:top w:val="nil"/>
              <w:left w:val="single" w:sz="4" w:space="0" w:color="auto"/>
              <w:bottom w:val="single" w:sz="8" w:space="0" w:color="auto"/>
              <w:right w:val="single" w:sz="4" w:space="0" w:color="auto"/>
            </w:tcBorders>
            <w:shd w:val="clear" w:color="000000" w:fill="FFFFFF"/>
            <w:noWrap/>
            <w:hideMark/>
          </w:tcPr>
          <w:p w14:paraId="6ACAA706" w14:textId="77777777" w:rsidR="00805707" w:rsidRPr="00805707" w:rsidRDefault="00805707" w:rsidP="00805707">
            <w:pPr>
              <w:spacing w:after="0" w:line="240" w:lineRule="auto"/>
              <w:jc w:val="center"/>
              <w:rPr>
                <w:rFonts w:ascii="Calibri" w:eastAsia="Times New Roman" w:hAnsi="Calibri" w:cs="Calibri"/>
                <w:sz w:val="16"/>
                <w:szCs w:val="16"/>
                <w:lang/>
              </w:rPr>
            </w:pPr>
            <w:r w:rsidRPr="00805707">
              <w:rPr>
                <w:rFonts w:ascii="Calibri" w:eastAsia="Times New Roman" w:hAnsi="Calibri" w:cs="Calibri"/>
                <w:sz w:val="16"/>
                <w:szCs w:val="16"/>
                <w:lang/>
              </w:rPr>
              <w:t>2</w:t>
            </w:r>
          </w:p>
        </w:tc>
        <w:tc>
          <w:tcPr>
            <w:tcW w:w="5528" w:type="dxa"/>
            <w:tcBorders>
              <w:top w:val="nil"/>
              <w:left w:val="single" w:sz="8" w:space="0" w:color="auto"/>
              <w:bottom w:val="single" w:sz="8" w:space="0" w:color="auto"/>
              <w:right w:val="single" w:sz="8" w:space="0" w:color="auto"/>
            </w:tcBorders>
            <w:shd w:val="clear" w:color="auto" w:fill="auto"/>
            <w:hideMark/>
          </w:tcPr>
          <w:p w14:paraId="7B7684B7"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6 business projects were approved by the Council in 2019.</w:t>
            </w:r>
          </w:p>
        </w:tc>
      </w:tr>
      <w:tr w:rsidR="00805707" w:rsidRPr="00805707" w14:paraId="3409F1A6" w14:textId="77777777" w:rsidTr="001A5BA9">
        <w:trPr>
          <w:trHeight w:val="2235"/>
        </w:trPr>
        <w:tc>
          <w:tcPr>
            <w:tcW w:w="1550" w:type="dxa"/>
            <w:vMerge/>
            <w:tcBorders>
              <w:top w:val="nil"/>
              <w:left w:val="single" w:sz="8" w:space="0" w:color="auto"/>
              <w:bottom w:val="single" w:sz="8" w:space="0" w:color="auto"/>
              <w:right w:val="single" w:sz="8" w:space="0" w:color="auto"/>
            </w:tcBorders>
            <w:vAlign w:val="center"/>
            <w:hideMark/>
          </w:tcPr>
          <w:p w14:paraId="64E9E51D" w14:textId="77777777" w:rsidR="00805707" w:rsidRPr="00805707" w:rsidRDefault="00805707" w:rsidP="00805707">
            <w:pPr>
              <w:spacing w:after="0" w:line="240" w:lineRule="auto"/>
              <w:rPr>
                <w:rFonts w:ascii="Calibri" w:eastAsia="Times New Roman" w:hAnsi="Calibri" w:cs="Calibri"/>
                <w:color w:val="000000"/>
                <w:sz w:val="16"/>
                <w:szCs w:val="16"/>
                <w:lang/>
              </w:rPr>
            </w:pPr>
          </w:p>
        </w:tc>
        <w:tc>
          <w:tcPr>
            <w:tcW w:w="2551" w:type="dxa"/>
            <w:tcBorders>
              <w:top w:val="nil"/>
              <w:left w:val="nil"/>
              <w:bottom w:val="single" w:sz="8" w:space="0" w:color="auto"/>
              <w:right w:val="single" w:sz="8" w:space="0" w:color="auto"/>
            </w:tcBorders>
            <w:shd w:val="clear" w:color="auto" w:fill="auto"/>
            <w:hideMark/>
          </w:tcPr>
          <w:p w14:paraId="7C0763E5"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b/>
                <w:bCs/>
                <w:color w:val="000000"/>
                <w:sz w:val="16"/>
                <w:szCs w:val="16"/>
                <w:lang/>
              </w:rPr>
              <w:t>1.3</w:t>
            </w:r>
            <w:r w:rsidRPr="00805707">
              <w:rPr>
                <w:rFonts w:ascii="Calibri" w:eastAsia="Times New Roman" w:hAnsi="Calibri" w:cs="Calibri"/>
                <w:color w:val="000000"/>
                <w:sz w:val="16"/>
                <w:szCs w:val="16"/>
                <w:lang/>
              </w:rPr>
              <w:t xml:space="preserve"> Number of projects that received RKDF loan out of the all projects supported under Activity 1</w:t>
            </w:r>
          </w:p>
        </w:tc>
        <w:tc>
          <w:tcPr>
            <w:tcW w:w="851" w:type="dxa"/>
            <w:tcBorders>
              <w:top w:val="nil"/>
              <w:left w:val="nil"/>
              <w:bottom w:val="single" w:sz="8" w:space="0" w:color="auto"/>
              <w:right w:val="single" w:sz="8" w:space="0" w:color="auto"/>
            </w:tcBorders>
            <w:shd w:val="clear" w:color="auto" w:fill="auto"/>
            <w:noWrap/>
            <w:hideMark/>
          </w:tcPr>
          <w:p w14:paraId="42904AA4"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Project Report</w:t>
            </w:r>
          </w:p>
        </w:tc>
        <w:tc>
          <w:tcPr>
            <w:tcW w:w="648" w:type="dxa"/>
            <w:tcBorders>
              <w:top w:val="nil"/>
              <w:left w:val="nil"/>
              <w:bottom w:val="single" w:sz="8" w:space="0" w:color="auto"/>
              <w:right w:val="single" w:sz="4" w:space="0" w:color="auto"/>
            </w:tcBorders>
            <w:shd w:val="clear" w:color="auto" w:fill="auto"/>
            <w:noWrap/>
            <w:hideMark/>
          </w:tcPr>
          <w:p w14:paraId="348C588F" w14:textId="77777777" w:rsidR="00805707" w:rsidRPr="00805707" w:rsidRDefault="00805707" w:rsidP="00805707">
            <w:pPr>
              <w:spacing w:after="0" w:line="240" w:lineRule="auto"/>
              <w:jc w:val="right"/>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0</w:t>
            </w:r>
          </w:p>
        </w:tc>
        <w:tc>
          <w:tcPr>
            <w:tcW w:w="627" w:type="dxa"/>
            <w:tcBorders>
              <w:top w:val="nil"/>
              <w:left w:val="nil"/>
              <w:bottom w:val="single" w:sz="8" w:space="0" w:color="auto"/>
              <w:right w:val="single" w:sz="8" w:space="0" w:color="auto"/>
            </w:tcBorders>
            <w:shd w:val="clear" w:color="auto" w:fill="auto"/>
            <w:noWrap/>
            <w:hideMark/>
          </w:tcPr>
          <w:p w14:paraId="072E3DC5" w14:textId="77777777" w:rsidR="00805707" w:rsidRPr="00805707" w:rsidRDefault="00805707" w:rsidP="00805707">
            <w:pPr>
              <w:spacing w:after="0" w:line="240" w:lineRule="auto"/>
              <w:jc w:val="right"/>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2017</w:t>
            </w:r>
          </w:p>
        </w:tc>
        <w:tc>
          <w:tcPr>
            <w:tcW w:w="993" w:type="dxa"/>
            <w:tcBorders>
              <w:top w:val="nil"/>
              <w:left w:val="nil"/>
              <w:bottom w:val="single" w:sz="8" w:space="0" w:color="auto"/>
              <w:right w:val="nil"/>
            </w:tcBorders>
            <w:shd w:val="clear" w:color="auto" w:fill="auto"/>
            <w:noWrap/>
            <w:hideMark/>
          </w:tcPr>
          <w:p w14:paraId="14045D8D"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 xml:space="preserve">  -</w:t>
            </w:r>
          </w:p>
        </w:tc>
        <w:tc>
          <w:tcPr>
            <w:tcW w:w="992" w:type="dxa"/>
            <w:tcBorders>
              <w:top w:val="nil"/>
              <w:left w:val="single" w:sz="4" w:space="0" w:color="auto"/>
              <w:bottom w:val="single" w:sz="8" w:space="0" w:color="auto"/>
              <w:right w:val="single" w:sz="4" w:space="0" w:color="auto"/>
            </w:tcBorders>
            <w:shd w:val="clear" w:color="000000" w:fill="FFFFFF"/>
            <w:noWrap/>
            <w:hideMark/>
          </w:tcPr>
          <w:p w14:paraId="0685996E"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40%</w:t>
            </w:r>
          </w:p>
        </w:tc>
        <w:tc>
          <w:tcPr>
            <w:tcW w:w="5528" w:type="dxa"/>
            <w:tcBorders>
              <w:top w:val="nil"/>
              <w:left w:val="single" w:sz="8" w:space="0" w:color="auto"/>
              <w:bottom w:val="single" w:sz="8" w:space="0" w:color="auto"/>
              <w:right w:val="single" w:sz="8" w:space="0" w:color="auto"/>
            </w:tcBorders>
            <w:shd w:val="clear" w:color="auto" w:fill="auto"/>
            <w:hideMark/>
          </w:tcPr>
          <w:p w14:paraId="4E5BD512" w14:textId="324728F2" w:rsidR="00805707" w:rsidRPr="00805707" w:rsidRDefault="00C02FA2" w:rsidP="00805707">
            <w:pPr>
              <w:spacing w:after="0" w:line="240" w:lineRule="auto"/>
              <w:rPr>
                <w:rFonts w:ascii="Calibri" w:eastAsia="Times New Roman" w:hAnsi="Calibri" w:cs="Calibri"/>
                <w:color w:val="000000"/>
                <w:sz w:val="16"/>
                <w:szCs w:val="16"/>
                <w:lang/>
              </w:rPr>
            </w:pPr>
            <w:r>
              <w:rPr>
                <w:rFonts w:ascii="Calibri" w:eastAsia="Times New Roman" w:hAnsi="Calibri" w:cs="Calibri"/>
                <w:color w:val="000000"/>
                <w:sz w:val="16"/>
                <w:szCs w:val="16"/>
                <w:lang/>
              </w:rPr>
              <w:t>T</w:t>
            </w:r>
            <w:r w:rsidR="00805707" w:rsidRPr="00805707">
              <w:rPr>
                <w:rFonts w:ascii="Calibri" w:eastAsia="Times New Roman" w:hAnsi="Calibri" w:cs="Calibri"/>
                <w:color w:val="000000"/>
                <w:sz w:val="16"/>
                <w:szCs w:val="16"/>
                <w:lang/>
              </w:rPr>
              <w:t xml:space="preserve">he consulting company for the development of </w:t>
            </w:r>
            <w:r w:rsidR="00591D29" w:rsidRPr="00805707">
              <w:rPr>
                <w:rFonts w:ascii="Calibri" w:eastAsia="Times New Roman" w:hAnsi="Calibri" w:cs="Calibri"/>
                <w:color w:val="000000"/>
                <w:sz w:val="16"/>
                <w:szCs w:val="16"/>
                <w:lang/>
              </w:rPr>
              <w:t>feasibility</w:t>
            </w:r>
            <w:r w:rsidR="00805707" w:rsidRPr="00805707">
              <w:rPr>
                <w:rFonts w:ascii="Calibri" w:eastAsia="Times New Roman" w:hAnsi="Calibri" w:cs="Calibri"/>
                <w:color w:val="000000"/>
                <w:sz w:val="16"/>
                <w:szCs w:val="16"/>
                <w:lang/>
              </w:rPr>
              <w:t xml:space="preserve"> studies was recruited in June 2019.  </w:t>
            </w:r>
            <w:r w:rsidRPr="00C02FA2">
              <w:rPr>
                <w:rFonts w:ascii="Calibri" w:eastAsia="Times New Roman" w:hAnsi="Calibri" w:cs="Calibri"/>
                <w:color w:val="000000"/>
                <w:sz w:val="16"/>
                <w:szCs w:val="16"/>
                <w:lang/>
              </w:rPr>
              <w:t>As of the end of January 2020, these business projects have the following status: the agreements of co-financing the development of feasibility studies have been signed with owners of 4 business projects: the fully developed feasibility studies of 2 business projects have been submitted to the RKDF and are in the process of review by the RKDF, the 3rd business project is to be submitted to the RKDF in February 2020 and the 4th project is at the stage of development; 1 business project is on hold status: the company has applied parallelly for financing in the frame of the state program on financing the development of regions and awaiting for their decision; 1 business project withdrew its application.</w:t>
            </w:r>
          </w:p>
        </w:tc>
      </w:tr>
      <w:tr w:rsidR="00805707" w:rsidRPr="00805707" w14:paraId="42EDDC72" w14:textId="77777777" w:rsidTr="001A5BA9">
        <w:trPr>
          <w:trHeight w:val="50"/>
        </w:trPr>
        <w:tc>
          <w:tcPr>
            <w:tcW w:w="1550" w:type="dxa"/>
            <w:vMerge w:val="restart"/>
            <w:tcBorders>
              <w:top w:val="nil"/>
              <w:left w:val="single" w:sz="8" w:space="0" w:color="auto"/>
              <w:bottom w:val="single" w:sz="8" w:space="0" w:color="auto"/>
              <w:right w:val="single" w:sz="8" w:space="0" w:color="auto"/>
            </w:tcBorders>
            <w:shd w:val="clear" w:color="auto" w:fill="auto"/>
            <w:hideMark/>
          </w:tcPr>
          <w:p w14:paraId="7C884C89"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b/>
                <w:bCs/>
                <w:color w:val="000000"/>
                <w:sz w:val="16"/>
                <w:szCs w:val="16"/>
                <w:lang/>
              </w:rPr>
              <w:t xml:space="preserve">Output 2   </w:t>
            </w:r>
            <w:r w:rsidRPr="00805707">
              <w:rPr>
                <w:rFonts w:ascii="Calibri" w:eastAsia="Times New Roman" w:hAnsi="Calibri" w:cs="Calibri"/>
                <w:color w:val="000000"/>
                <w:sz w:val="16"/>
                <w:szCs w:val="16"/>
                <w:lang/>
              </w:rPr>
              <w:t xml:space="preserve">                                          Enhanced capacity of the select CIS countries in accessing new development finance sources</w:t>
            </w:r>
          </w:p>
        </w:tc>
        <w:tc>
          <w:tcPr>
            <w:tcW w:w="2551" w:type="dxa"/>
            <w:tcBorders>
              <w:top w:val="nil"/>
              <w:left w:val="nil"/>
              <w:bottom w:val="single" w:sz="8" w:space="0" w:color="auto"/>
              <w:right w:val="single" w:sz="8" w:space="0" w:color="auto"/>
            </w:tcBorders>
            <w:shd w:val="clear" w:color="auto" w:fill="auto"/>
            <w:hideMark/>
          </w:tcPr>
          <w:p w14:paraId="13ED1ECE" w14:textId="6980BA98"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b/>
                <w:bCs/>
                <w:color w:val="000000"/>
                <w:sz w:val="16"/>
                <w:szCs w:val="16"/>
                <w:lang/>
              </w:rPr>
              <w:t xml:space="preserve">2.1 </w:t>
            </w:r>
            <w:r w:rsidRPr="00805707">
              <w:rPr>
                <w:rFonts w:ascii="Calibri" w:eastAsia="Times New Roman" w:hAnsi="Calibri" w:cs="Calibri"/>
                <w:color w:val="000000"/>
                <w:sz w:val="16"/>
                <w:szCs w:val="16"/>
                <w:lang/>
              </w:rPr>
              <w:t>Number of gender-sensitive pre-</w:t>
            </w:r>
            <w:r w:rsidR="00591D29" w:rsidRPr="00805707">
              <w:rPr>
                <w:rFonts w:ascii="Calibri" w:eastAsia="Times New Roman" w:hAnsi="Calibri" w:cs="Calibri"/>
                <w:color w:val="000000"/>
                <w:sz w:val="16"/>
                <w:szCs w:val="16"/>
                <w:lang/>
              </w:rPr>
              <w:t>feasibility</w:t>
            </w:r>
            <w:r w:rsidRPr="00805707">
              <w:rPr>
                <w:rFonts w:ascii="Calibri" w:eastAsia="Times New Roman" w:hAnsi="Calibri" w:cs="Calibri"/>
                <w:color w:val="000000"/>
                <w:sz w:val="16"/>
                <w:szCs w:val="16"/>
                <w:lang/>
              </w:rPr>
              <w:t xml:space="preserve"> and </w:t>
            </w:r>
            <w:r w:rsidR="00591D29" w:rsidRPr="00805707">
              <w:rPr>
                <w:rFonts w:ascii="Calibri" w:eastAsia="Times New Roman" w:hAnsi="Calibri" w:cs="Calibri"/>
                <w:color w:val="000000"/>
                <w:sz w:val="16"/>
                <w:szCs w:val="16"/>
                <w:lang/>
              </w:rPr>
              <w:t>feasibility</w:t>
            </w:r>
            <w:r w:rsidRPr="00805707">
              <w:rPr>
                <w:rFonts w:ascii="Calibri" w:eastAsia="Times New Roman" w:hAnsi="Calibri" w:cs="Calibri"/>
                <w:color w:val="000000"/>
                <w:sz w:val="16"/>
                <w:szCs w:val="16"/>
                <w:lang/>
              </w:rPr>
              <w:t xml:space="preserve"> studies, business plans, assessments</w:t>
            </w:r>
            <w:r w:rsidR="001A5BA9">
              <w:rPr>
                <w:rFonts w:ascii="Calibri" w:eastAsia="Times New Roman" w:hAnsi="Calibri" w:cs="Calibri"/>
                <w:color w:val="000000"/>
                <w:sz w:val="16"/>
                <w:szCs w:val="16"/>
                <w:lang/>
              </w:rPr>
              <w:t>,</w:t>
            </w:r>
            <w:r w:rsidRPr="00805707">
              <w:rPr>
                <w:rFonts w:ascii="Calibri" w:eastAsia="Times New Roman" w:hAnsi="Calibri" w:cs="Calibri"/>
                <w:color w:val="000000"/>
                <w:sz w:val="16"/>
                <w:szCs w:val="16"/>
                <w:lang/>
              </w:rPr>
              <w:t xml:space="preserve"> developed under the technical assistance to potential borrowers of the EDB</w:t>
            </w:r>
          </w:p>
        </w:tc>
        <w:tc>
          <w:tcPr>
            <w:tcW w:w="851" w:type="dxa"/>
            <w:tcBorders>
              <w:top w:val="nil"/>
              <w:left w:val="nil"/>
              <w:bottom w:val="single" w:sz="8" w:space="0" w:color="auto"/>
              <w:right w:val="single" w:sz="8" w:space="0" w:color="auto"/>
            </w:tcBorders>
            <w:shd w:val="clear" w:color="auto" w:fill="auto"/>
            <w:noWrap/>
            <w:hideMark/>
          </w:tcPr>
          <w:p w14:paraId="0AC38235"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Project Report</w:t>
            </w:r>
          </w:p>
        </w:tc>
        <w:tc>
          <w:tcPr>
            <w:tcW w:w="648" w:type="dxa"/>
            <w:tcBorders>
              <w:top w:val="nil"/>
              <w:left w:val="nil"/>
              <w:bottom w:val="single" w:sz="8" w:space="0" w:color="auto"/>
              <w:right w:val="single" w:sz="4" w:space="0" w:color="auto"/>
            </w:tcBorders>
            <w:shd w:val="clear" w:color="auto" w:fill="auto"/>
            <w:noWrap/>
            <w:hideMark/>
          </w:tcPr>
          <w:p w14:paraId="0966D5AB" w14:textId="77777777" w:rsidR="00805707" w:rsidRPr="00805707" w:rsidRDefault="00805707" w:rsidP="00805707">
            <w:pPr>
              <w:spacing w:after="0" w:line="240" w:lineRule="auto"/>
              <w:jc w:val="right"/>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0</w:t>
            </w:r>
          </w:p>
        </w:tc>
        <w:tc>
          <w:tcPr>
            <w:tcW w:w="627" w:type="dxa"/>
            <w:tcBorders>
              <w:top w:val="nil"/>
              <w:left w:val="nil"/>
              <w:bottom w:val="single" w:sz="8" w:space="0" w:color="auto"/>
              <w:right w:val="single" w:sz="8" w:space="0" w:color="auto"/>
            </w:tcBorders>
            <w:shd w:val="clear" w:color="auto" w:fill="auto"/>
            <w:noWrap/>
            <w:hideMark/>
          </w:tcPr>
          <w:p w14:paraId="491FAD41" w14:textId="77777777" w:rsidR="00805707" w:rsidRPr="00805707" w:rsidRDefault="00805707" w:rsidP="00805707">
            <w:pPr>
              <w:spacing w:after="0" w:line="240" w:lineRule="auto"/>
              <w:jc w:val="right"/>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2017</w:t>
            </w:r>
          </w:p>
        </w:tc>
        <w:tc>
          <w:tcPr>
            <w:tcW w:w="993" w:type="dxa"/>
            <w:tcBorders>
              <w:top w:val="nil"/>
              <w:left w:val="nil"/>
              <w:bottom w:val="single" w:sz="8" w:space="0" w:color="auto"/>
              <w:right w:val="nil"/>
            </w:tcBorders>
            <w:shd w:val="clear" w:color="auto" w:fill="auto"/>
            <w:noWrap/>
            <w:hideMark/>
          </w:tcPr>
          <w:p w14:paraId="5F466FED"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 xml:space="preserve">  -</w:t>
            </w:r>
          </w:p>
        </w:tc>
        <w:tc>
          <w:tcPr>
            <w:tcW w:w="992" w:type="dxa"/>
            <w:tcBorders>
              <w:top w:val="nil"/>
              <w:left w:val="single" w:sz="4" w:space="0" w:color="auto"/>
              <w:bottom w:val="single" w:sz="8" w:space="0" w:color="auto"/>
              <w:right w:val="single" w:sz="4" w:space="0" w:color="auto"/>
            </w:tcBorders>
            <w:shd w:val="clear" w:color="000000" w:fill="FFFFFF"/>
            <w:noWrap/>
            <w:hideMark/>
          </w:tcPr>
          <w:p w14:paraId="2C40C4B8"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1</w:t>
            </w:r>
          </w:p>
        </w:tc>
        <w:tc>
          <w:tcPr>
            <w:tcW w:w="5528" w:type="dxa"/>
            <w:tcBorders>
              <w:top w:val="nil"/>
              <w:left w:val="single" w:sz="8" w:space="0" w:color="auto"/>
              <w:bottom w:val="single" w:sz="8" w:space="0" w:color="auto"/>
              <w:right w:val="single" w:sz="8" w:space="0" w:color="auto"/>
            </w:tcBorders>
            <w:shd w:val="clear" w:color="auto" w:fill="auto"/>
            <w:hideMark/>
          </w:tcPr>
          <w:p w14:paraId="4BC796B8" w14:textId="5C847612" w:rsidR="00805707" w:rsidRPr="00805707" w:rsidRDefault="006319B2" w:rsidP="00805707">
            <w:pPr>
              <w:spacing w:after="0" w:line="240" w:lineRule="auto"/>
              <w:rPr>
                <w:rFonts w:ascii="Calibri" w:eastAsia="Times New Roman" w:hAnsi="Calibri" w:cs="Calibri"/>
                <w:color w:val="000000"/>
                <w:sz w:val="16"/>
                <w:szCs w:val="16"/>
                <w:lang/>
              </w:rPr>
            </w:pPr>
            <w:r>
              <w:rPr>
                <w:rFonts w:ascii="Calibri" w:eastAsia="Times New Roman" w:hAnsi="Calibri" w:cs="Calibri"/>
                <w:color w:val="000000"/>
                <w:sz w:val="16"/>
                <w:szCs w:val="16"/>
                <w:lang/>
              </w:rPr>
              <w:t>Due to the</w:t>
            </w:r>
            <w:r w:rsidRPr="006319B2">
              <w:rPr>
                <w:rFonts w:ascii="Calibri" w:eastAsia="Times New Roman" w:hAnsi="Calibri" w:cs="Calibri"/>
                <w:color w:val="000000"/>
                <w:sz w:val="16"/>
                <w:szCs w:val="16"/>
                <w:lang/>
              </w:rPr>
              <w:t xml:space="preserve"> requirement of the EDB that the implementation of measures to identify projects for financing and the development of feasibility stud</w:t>
            </w:r>
            <w:r>
              <w:rPr>
                <w:rFonts w:ascii="Calibri" w:eastAsia="Times New Roman" w:hAnsi="Calibri" w:cs="Calibri"/>
                <w:color w:val="000000"/>
                <w:sz w:val="16"/>
                <w:szCs w:val="16"/>
                <w:lang/>
              </w:rPr>
              <w:t>ies</w:t>
            </w:r>
            <w:r w:rsidRPr="006319B2">
              <w:rPr>
                <w:rFonts w:ascii="Calibri" w:eastAsia="Times New Roman" w:hAnsi="Calibri" w:cs="Calibri"/>
                <w:color w:val="000000"/>
                <w:sz w:val="16"/>
                <w:szCs w:val="16"/>
                <w:lang/>
              </w:rPr>
              <w:t xml:space="preserve">, as part of </w:t>
            </w:r>
            <w:r>
              <w:rPr>
                <w:rFonts w:ascii="Calibri" w:eastAsia="Times New Roman" w:hAnsi="Calibri" w:cs="Calibri"/>
                <w:color w:val="000000"/>
                <w:sz w:val="16"/>
                <w:szCs w:val="16"/>
                <w:lang/>
              </w:rPr>
              <w:t>the Activity</w:t>
            </w:r>
            <w:r w:rsidRPr="006319B2">
              <w:rPr>
                <w:rFonts w:ascii="Calibri" w:eastAsia="Times New Roman" w:hAnsi="Calibri" w:cs="Calibri"/>
                <w:color w:val="000000"/>
                <w:sz w:val="16"/>
                <w:szCs w:val="16"/>
                <w:lang/>
              </w:rPr>
              <w:t xml:space="preserve"> related to cooperation with the EDB, should </w:t>
            </w:r>
            <w:r>
              <w:rPr>
                <w:rFonts w:ascii="Calibri" w:eastAsia="Times New Roman" w:hAnsi="Calibri" w:cs="Calibri"/>
                <w:color w:val="000000"/>
                <w:sz w:val="16"/>
                <w:szCs w:val="16"/>
                <w:lang/>
              </w:rPr>
              <w:t>come as</w:t>
            </w:r>
            <w:r w:rsidRPr="006319B2">
              <w:rPr>
                <w:rFonts w:ascii="Calibri" w:eastAsia="Times New Roman" w:hAnsi="Calibri" w:cs="Calibri"/>
                <w:color w:val="000000"/>
                <w:sz w:val="16"/>
                <w:szCs w:val="16"/>
                <w:lang/>
              </w:rPr>
              <w:t xml:space="preserve"> </w:t>
            </w:r>
            <w:r>
              <w:rPr>
                <w:rFonts w:ascii="Calibri" w:eastAsia="Times New Roman" w:hAnsi="Calibri" w:cs="Calibri"/>
                <w:color w:val="000000"/>
                <w:sz w:val="16"/>
                <w:szCs w:val="16"/>
                <w:lang/>
              </w:rPr>
              <w:t>the next step to the</w:t>
            </w:r>
            <w:r w:rsidRPr="006319B2">
              <w:rPr>
                <w:rFonts w:ascii="Calibri" w:eastAsia="Times New Roman" w:hAnsi="Calibri" w:cs="Calibri"/>
                <w:color w:val="000000"/>
                <w:sz w:val="16"/>
                <w:szCs w:val="16"/>
                <w:lang/>
              </w:rPr>
              <w:t xml:space="preserve"> development of a co-financing mechanism, the implementation of this measure has been postponed until 2020.</w:t>
            </w:r>
          </w:p>
        </w:tc>
      </w:tr>
      <w:tr w:rsidR="00805707" w:rsidRPr="00805707" w14:paraId="124511E0" w14:textId="77777777" w:rsidTr="001A5BA9">
        <w:trPr>
          <w:trHeight w:val="825"/>
        </w:trPr>
        <w:tc>
          <w:tcPr>
            <w:tcW w:w="1550" w:type="dxa"/>
            <w:vMerge/>
            <w:tcBorders>
              <w:top w:val="nil"/>
              <w:left w:val="single" w:sz="8" w:space="0" w:color="auto"/>
              <w:bottom w:val="single" w:sz="8" w:space="0" w:color="auto"/>
              <w:right w:val="single" w:sz="8" w:space="0" w:color="auto"/>
            </w:tcBorders>
            <w:vAlign w:val="center"/>
            <w:hideMark/>
          </w:tcPr>
          <w:p w14:paraId="3A2EE5D2" w14:textId="77777777" w:rsidR="00805707" w:rsidRPr="00805707" w:rsidRDefault="00805707" w:rsidP="00805707">
            <w:pPr>
              <w:spacing w:after="0" w:line="240" w:lineRule="auto"/>
              <w:rPr>
                <w:rFonts w:ascii="Calibri" w:eastAsia="Times New Roman" w:hAnsi="Calibri" w:cs="Calibri"/>
                <w:color w:val="000000"/>
                <w:sz w:val="16"/>
                <w:szCs w:val="16"/>
                <w:lang/>
              </w:rPr>
            </w:pPr>
          </w:p>
        </w:tc>
        <w:tc>
          <w:tcPr>
            <w:tcW w:w="2551" w:type="dxa"/>
            <w:tcBorders>
              <w:top w:val="nil"/>
              <w:left w:val="nil"/>
              <w:bottom w:val="single" w:sz="8" w:space="0" w:color="auto"/>
              <w:right w:val="single" w:sz="8" w:space="0" w:color="auto"/>
            </w:tcBorders>
            <w:shd w:val="clear" w:color="auto" w:fill="auto"/>
            <w:hideMark/>
          </w:tcPr>
          <w:p w14:paraId="34336C0D"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b/>
                <w:bCs/>
                <w:color w:val="000000"/>
                <w:sz w:val="16"/>
                <w:szCs w:val="16"/>
                <w:lang/>
              </w:rPr>
              <w:t>2.2</w:t>
            </w:r>
            <w:r w:rsidRPr="00805707">
              <w:rPr>
                <w:rFonts w:ascii="Calibri" w:eastAsia="Times New Roman" w:hAnsi="Calibri" w:cs="Calibri"/>
                <w:color w:val="000000"/>
                <w:sz w:val="16"/>
                <w:szCs w:val="16"/>
                <w:lang/>
              </w:rPr>
              <w:t xml:space="preserve"> Number of lending products and credit lines supported by the project</w:t>
            </w:r>
          </w:p>
        </w:tc>
        <w:tc>
          <w:tcPr>
            <w:tcW w:w="851" w:type="dxa"/>
            <w:tcBorders>
              <w:top w:val="nil"/>
              <w:left w:val="nil"/>
              <w:bottom w:val="single" w:sz="8" w:space="0" w:color="auto"/>
              <w:right w:val="single" w:sz="8" w:space="0" w:color="auto"/>
            </w:tcBorders>
            <w:shd w:val="clear" w:color="auto" w:fill="auto"/>
            <w:noWrap/>
            <w:hideMark/>
          </w:tcPr>
          <w:p w14:paraId="33C5027E"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Project Report</w:t>
            </w:r>
          </w:p>
        </w:tc>
        <w:tc>
          <w:tcPr>
            <w:tcW w:w="648" w:type="dxa"/>
            <w:tcBorders>
              <w:top w:val="nil"/>
              <w:left w:val="nil"/>
              <w:bottom w:val="single" w:sz="8" w:space="0" w:color="auto"/>
              <w:right w:val="single" w:sz="4" w:space="0" w:color="auto"/>
            </w:tcBorders>
            <w:shd w:val="clear" w:color="auto" w:fill="auto"/>
            <w:noWrap/>
            <w:hideMark/>
          </w:tcPr>
          <w:p w14:paraId="27FD7876" w14:textId="77777777" w:rsidR="00805707" w:rsidRPr="00805707" w:rsidRDefault="00805707" w:rsidP="00805707">
            <w:pPr>
              <w:spacing w:after="0" w:line="240" w:lineRule="auto"/>
              <w:jc w:val="right"/>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0</w:t>
            </w:r>
          </w:p>
        </w:tc>
        <w:tc>
          <w:tcPr>
            <w:tcW w:w="627" w:type="dxa"/>
            <w:tcBorders>
              <w:top w:val="nil"/>
              <w:left w:val="nil"/>
              <w:bottom w:val="single" w:sz="8" w:space="0" w:color="auto"/>
              <w:right w:val="single" w:sz="8" w:space="0" w:color="auto"/>
            </w:tcBorders>
            <w:shd w:val="clear" w:color="auto" w:fill="auto"/>
            <w:noWrap/>
            <w:hideMark/>
          </w:tcPr>
          <w:p w14:paraId="420314CB" w14:textId="77777777" w:rsidR="00805707" w:rsidRPr="00805707" w:rsidRDefault="00805707" w:rsidP="00805707">
            <w:pPr>
              <w:spacing w:after="0" w:line="240" w:lineRule="auto"/>
              <w:jc w:val="right"/>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2017</w:t>
            </w:r>
          </w:p>
        </w:tc>
        <w:tc>
          <w:tcPr>
            <w:tcW w:w="993" w:type="dxa"/>
            <w:tcBorders>
              <w:top w:val="nil"/>
              <w:left w:val="nil"/>
              <w:bottom w:val="single" w:sz="8" w:space="0" w:color="auto"/>
              <w:right w:val="nil"/>
            </w:tcBorders>
            <w:shd w:val="clear" w:color="auto" w:fill="auto"/>
            <w:noWrap/>
            <w:hideMark/>
          </w:tcPr>
          <w:p w14:paraId="0B4185FE"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 xml:space="preserve">  -</w:t>
            </w:r>
          </w:p>
        </w:tc>
        <w:tc>
          <w:tcPr>
            <w:tcW w:w="992" w:type="dxa"/>
            <w:tcBorders>
              <w:top w:val="nil"/>
              <w:left w:val="single" w:sz="4" w:space="0" w:color="auto"/>
              <w:bottom w:val="single" w:sz="8" w:space="0" w:color="auto"/>
              <w:right w:val="single" w:sz="4" w:space="0" w:color="auto"/>
            </w:tcBorders>
            <w:shd w:val="clear" w:color="000000" w:fill="FFFFFF"/>
            <w:noWrap/>
            <w:hideMark/>
          </w:tcPr>
          <w:p w14:paraId="6BBE175F" w14:textId="77777777" w:rsidR="00805707" w:rsidRPr="00805707" w:rsidRDefault="00805707" w:rsidP="00805707">
            <w:pPr>
              <w:spacing w:after="0" w:line="240" w:lineRule="auto"/>
              <w:jc w:val="center"/>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1</w:t>
            </w:r>
          </w:p>
        </w:tc>
        <w:tc>
          <w:tcPr>
            <w:tcW w:w="5528" w:type="dxa"/>
            <w:tcBorders>
              <w:top w:val="nil"/>
              <w:left w:val="single" w:sz="8" w:space="0" w:color="auto"/>
              <w:bottom w:val="single" w:sz="8" w:space="0" w:color="auto"/>
              <w:right w:val="single" w:sz="8" w:space="0" w:color="auto"/>
            </w:tcBorders>
            <w:shd w:val="clear" w:color="auto" w:fill="auto"/>
            <w:hideMark/>
          </w:tcPr>
          <w:p w14:paraId="769376E4" w14:textId="77777777" w:rsidR="00805707" w:rsidRPr="00805707" w:rsidRDefault="00805707" w:rsidP="00805707">
            <w:pPr>
              <w:spacing w:after="0" w:line="240" w:lineRule="auto"/>
              <w:rPr>
                <w:rFonts w:ascii="Calibri" w:eastAsia="Times New Roman" w:hAnsi="Calibri" w:cs="Calibri"/>
                <w:color w:val="000000"/>
                <w:sz w:val="16"/>
                <w:szCs w:val="16"/>
                <w:lang/>
              </w:rPr>
            </w:pPr>
            <w:r w:rsidRPr="00805707">
              <w:rPr>
                <w:rFonts w:ascii="Calibri" w:eastAsia="Times New Roman" w:hAnsi="Calibri" w:cs="Calibri"/>
                <w:color w:val="000000"/>
                <w:sz w:val="16"/>
                <w:szCs w:val="16"/>
                <w:lang/>
              </w:rPr>
              <w:t>The consultant was recruited and will start the assignment in January 2020</w:t>
            </w:r>
          </w:p>
        </w:tc>
      </w:tr>
    </w:tbl>
    <w:p w14:paraId="6A76CE24" w14:textId="01881FC5" w:rsidR="0066028C" w:rsidRPr="00805707" w:rsidRDefault="0066028C" w:rsidP="00F015CC">
      <w:pPr>
        <w:tabs>
          <w:tab w:val="left" w:pos="2980"/>
        </w:tabs>
        <w:spacing w:line="240" w:lineRule="auto"/>
        <w:rPr>
          <w:rFonts w:eastAsia="Times New Roman" w:cstheme="minorHAnsi"/>
          <w:highlight w:val="yellow"/>
          <w:lang/>
        </w:rPr>
        <w:sectPr w:rsidR="0066028C" w:rsidRPr="00805707" w:rsidSect="0066028C">
          <w:pgSz w:w="15840" w:h="12240" w:orient="landscape"/>
          <w:pgMar w:top="1440" w:right="1440" w:bottom="1440" w:left="1440" w:header="720" w:footer="720" w:gutter="0"/>
          <w:cols w:space="720"/>
          <w:docGrid w:linePitch="360"/>
        </w:sectPr>
      </w:pPr>
    </w:p>
    <w:p w14:paraId="6ACF17E9" w14:textId="7C9103CF" w:rsidR="00F52527" w:rsidRPr="00F015CC" w:rsidRDefault="005206D4" w:rsidP="00F015CC">
      <w:pPr>
        <w:pStyle w:val="BodyText"/>
        <w:tabs>
          <w:tab w:val="left" w:pos="7452"/>
        </w:tabs>
        <w:spacing w:after="160"/>
        <w:outlineLvl w:val="0"/>
        <w:rPr>
          <w:rFonts w:asciiTheme="minorHAnsi" w:hAnsiTheme="minorHAnsi" w:cstheme="minorHAnsi"/>
          <w:color w:val="000000"/>
          <w:sz w:val="22"/>
          <w:szCs w:val="22"/>
        </w:rPr>
      </w:pPr>
      <w:r>
        <w:rPr>
          <w:rFonts w:asciiTheme="minorHAnsi" w:hAnsiTheme="minorHAnsi" w:cstheme="minorHAnsi"/>
          <w:b/>
          <w:color w:val="000000"/>
          <w:sz w:val="22"/>
          <w:szCs w:val="22"/>
        </w:rPr>
        <w:t xml:space="preserve">Attachment </w:t>
      </w:r>
      <w:r w:rsidR="00771883">
        <w:rPr>
          <w:rFonts w:asciiTheme="minorHAnsi" w:hAnsiTheme="minorHAnsi" w:cstheme="minorHAnsi"/>
          <w:b/>
          <w:color w:val="000000"/>
          <w:sz w:val="22"/>
          <w:szCs w:val="22"/>
        </w:rPr>
        <w:t>2</w:t>
      </w:r>
      <w:r>
        <w:rPr>
          <w:rFonts w:asciiTheme="minorHAnsi" w:hAnsiTheme="minorHAnsi" w:cstheme="minorHAnsi"/>
          <w:b/>
          <w:color w:val="000000"/>
          <w:sz w:val="22"/>
          <w:szCs w:val="22"/>
        </w:rPr>
        <w:t xml:space="preserve">. </w:t>
      </w:r>
      <w:r w:rsidR="00F52527" w:rsidRPr="00F015CC">
        <w:rPr>
          <w:rFonts w:asciiTheme="minorHAnsi" w:hAnsiTheme="minorHAnsi" w:cstheme="minorHAnsi"/>
          <w:b/>
          <w:color w:val="000000"/>
          <w:sz w:val="22"/>
          <w:szCs w:val="22"/>
        </w:rPr>
        <w:t>Media coverage report</w:t>
      </w:r>
      <w:r w:rsidR="00F52527" w:rsidRPr="00F015CC">
        <w:rPr>
          <w:rFonts w:asciiTheme="minorHAnsi" w:hAnsiTheme="minorHAnsi" w:cstheme="minorHAnsi"/>
          <w:color w:val="000000"/>
          <w:sz w:val="22"/>
          <w:szCs w:val="22"/>
        </w:rPr>
        <w:t xml:space="preserve"> with links to main publications</w:t>
      </w:r>
    </w:p>
    <w:p w14:paraId="0233042B" w14:textId="77777777" w:rsidR="00955B68" w:rsidRPr="00F015CC" w:rsidRDefault="00955B68" w:rsidP="00F015CC">
      <w:pPr>
        <w:spacing w:line="240" w:lineRule="auto"/>
        <w:rPr>
          <w:rFonts w:cstheme="minorHAnsi"/>
          <w:b/>
        </w:rPr>
      </w:pPr>
    </w:p>
    <w:p w14:paraId="7A33840A" w14:textId="77777777" w:rsidR="00C3513F" w:rsidRPr="00C3513F" w:rsidRDefault="00C3513F" w:rsidP="00C3513F">
      <w:pPr>
        <w:spacing w:line="240" w:lineRule="auto"/>
        <w:rPr>
          <w:b/>
        </w:rPr>
      </w:pPr>
      <w:r w:rsidRPr="00C3513F">
        <w:rPr>
          <w:b/>
        </w:rPr>
        <w:t>On the work of Project Preparation Facility under the Ministry of Economy</w:t>
      </w:r>
    </w:p>
    <w:p w14:paraId="255D6A19" w14:textId="77777777" w:rsidR="00C3513F" w:rsidRPr="00F015CC" w:rsidRDefault="0054758D" w:rsidP="00C3513F">
      <w:pPr>
        <w:spacing w:line="240" w:lineRule="auto"/>
        <w:rPr>
          <w:rFonts w:cstheme="minorHAnsi"/>
        </w:rPr>
      </w:pPr>
      <w:hyperlink r:id="rId16" w:history="1">
        <w:r w:rsidR="00C3513F" w:rsidRPr="00826157">
          <w:rPr>
            <w:rStyle w:val="Hyperlink"/>
          </w:rPr>
          <w:t>http://mineconom.gov.kg/ru/post/5858</w:t>
        </w:r>
      </w:hyperlink>
    </w:p>
    <w:p w14:paraId="0BBC123C" w14:textId="77777777" w:rsidR="00C3513F" w:rsidRPr="00F015CC" w:rsidRDefault="00C3513F" w:rsidP="00C3513F">
      <w:pPr>
        <w:spacing w:line="240" w:lineRule="auto"/>
        <w:rPr>
          <w:rFonts w:cstheme="minorHAnsi"/>
          <w:b/>
        </w:rPr>
      </w:pPr>
      <w:r w:rsidRPr="00F015CC">
        <w:rPr>
          <w:rFonts w:cstheme="minorHAnsi"/>
          <w:b/>
        </w:rPr>
        <w:t xml:space="preserve">For the first time in Central Asia and Kyrgyzstan, training is planned for entrepreneurs on the methodology of Harvard University </w:t>
      </w:r>
    </w:p>
    <w:p w14:paraId="49143068" w14:textId="77777777" w:rsidR="00C3513F" w:rsidRPr="00F015CC" w:rsidRDefault="0054758D" w:rsidP="00C3513F">
      <w:pPr>
        <w:spacing w:line="240" w:lineRule="auto"/>
        <w:rPr>
          <w:rFonts w:cstheme="minorHAnsi"/>
        </w:rPr>
      </w:pPr>
      <w:hyperlink r:id="rId17" w:history="1">
        <w:r w:rsidR="00C3513F" w:rsidRPr="00F015CC">
          <w:rPr>
            <w:rStyle w:val="Hyperlink"/>
            <w:rFonts w:cstheme="minorHAnsi"/>
          </w:rPr>
          <w:t>http://mineconom.gov.kg/ru/post/5843?fbclid=IwAR1xCm3TeVuX10OsclYiiR82AdsuLXbzWZKw9OXG4WuGtF3AKVRtNHCnQ14</w:t>
        </w:r>
      </w:hyperlink>
      <w:r w:rsidR="00C3513F" w:rsidRPr="00F015CC">
        <w:rPr>
          <w:rFonts w:cstheme="minorHAnsi"/>
        </w:rPr>
        <w:t xml:space="preserve"> </w:t>
      </w:r>
    </w:p>
    <w:p w14:paraId="2691F0DB" w14:textId="77777777" w:rsidR="00C3513F" w:rsidRPr="00F015CC" w:rsidRDefault="00C3513F" w:rsidP="00C3513F">
      <w:pPr>
        <w:spacing w:line="240" w:lineRule="auto"/>
        <w:rPr>
          <w:rFonts w:cstheme="minorHAnsi"/>
          <w:b/>
        </w:rPr>
      </w:pPr>
      <w:r w:rsidRPr="00F015CC">
        <w:rPr>
          <w:rFonts w:cstheme="minorHAnsi"/>
          <w:b/>
        </w:rPr>
        <w:t>With the support of UNDP, the Ministry of Economy of Kyrgyzstan organizes a FREE 6-day workshop for small / medium-sized businesses</w:t>
      </w:r>
    </w:p>
    <w:p w14:paraId="47D1CAB0" w14:textId="77777777" w:rsidR="00C3513F" w:rsidRDefault="0054758D" w:rsidP="00C3513F">
      <w:pPr>
        <w:spacing w:line="240" w:lineRule="auto"/>
        <w:rPr>
          <w:rStyle w:val="Hyperlink"/>
          <w:rFonts w:cstheme="minorHAnsi"/>
        </w:rPr>
      </w:pPr>
      <w:hyperlink r:id="rId18" w:history="1">
        <w:r w:rsidR="00C3513F" w:rsidRPr="00F015CC">
          <w:rPr>
            <w:rStyle w:val="Hyperlink"/>
            <w:rFonts w:cstheme="minorHAnsi"/>
          </w:rPr>
          <w:t>https://www.facebook.com/RealEconomyWithSaltanat/photos/a.1952398308339515/2367026680210007/?type=3&amp;theater</w:t>
        </w:r>
      </w:hyperlink>
    </w:p>
    <w:p w14:paraId="5659A691" w14:textId="7FF4011E" w:rsidR="005B2792" w:rsidRPr="00F015CC" w:rsidRDefault="00C3513F" w:rsidP="00C3513F">
      <w:pPr>
        <w:spacing w:line="240" w:lineRule="auto"/>
        <w:rPr>
          <w:rFonts w:cstheme="minorHAnsi"/>
          <w:b/>
        </w:rPr>
      </w:pPr>
      <w:r>
        <w:rPr>
          <w:rFonts w:cstheme="minorHAnsi"/>
          <w:b/>
        </w:rPr>
        <w:t>B</w:t>
      </w:r>
      <w:r w:rsidR="00955B68" w:rsidRPr="00F015CC">
        <w:rPr>
          <w:rFonts w:cstheme="minorHAnsi"/>
          <w:b/>
        </w:rPr>
        <w:t>usiness plan templates</w:t>
      </w:r>
      <w:r w:rsidR="007B2AA4" w:rsidRPr="00956C06">
        <w:rPr>
          <w:rFonts w:cstheme="minorHAnsi"/>
          <w:b/>
        </w:rPr>
        <w:t xml:space="preserve"> </w:t>
      </w:r>
      <w:r w:rsidR="007B2AA4">
        <w:rPr>
          <w:rFonts w:cstheme="minorHAnsi"/>
          <w:b/>
        </w:rPr>
        <w:t>for the RKDF</w:t>
      </w:r>
      <w:r w:rsidR="00955B68" w:rsidRPr="00F015CC">
        <w:rPr>
          <w:rFonts w:cstheme="minorHAnsi"/>
          <w:b/>
        </w:rPr>
        <w:t xml:space="preserve"> </w:t>
      </w:r>
    </w:p>
    <w:p w14:paraId="4857E057" w14:textId="0B640FD3" w:rsidR="00955B68" w:rsidRDefault="0054758D" w:rsidP="00F015CC">
      <w:pPr>
        <w:spacing w:line="240" w:lineRule="auto"/>
        <w:rPr>
          <w:rFonts w:cstheme="minorHAnsi"/>
        </w:rPr>
      </w:pPr>
      <w:hyperlink r:id="rId19" w:history="1">
        <w:r w:rsidR="00955B68" w:rsidRPr="00F015CC">
          <w:rPr>
            <w:rStyle w:val="Hyperlink"/>
            <w:rFonts w:cstheme="minorHAnsi"/>
          </w:rPr>
          <w:t>http://www.rkdf.org/ru/kreditovanie/shablony_biznes_planov/krs/</w:t>
        </w:r>
      </w:hyperlink>
      <w:r w:rsidR="00955B68" w:rsidRPr="00F015CC">
        <w:rPr>
          <w:rFonts w:cstheme="minorHAnsi"/>
        </w:rPr>
        <w:t xml:space="preserve"> </w:t>
      </w:r>
    </w:p>
    <w:p w14:paraId="0C21BC2F" w14:textId="19026084" w:rsidR="006B4414" w:rsidRPr="006B4414" w:rsidRDefault="006B4414" w:rsidP="00F015CC">
      <w:pPr>
        <w:spacing w:line="240" w:lineRule="auto"/>
        <w:rPr>
          <w:rFonts w:cstheme="minorHAnsi"/>
          <w:b/>
        </w:rPr>
      </w:pPr>
      <w:r w:rsidRPr="006B4414">
        <w:rPr>
          <w:rFonts w:cstheme="minorHAnsi"/>
          <w:b/>
        </w:rPr>
        <w:t xml:space="preserve">Training within the frame of the new program RKDF on </w:t>
      </w:r>
      <w:r w:rsidR="00F05C9E" w:rsidRPr="006B4414">
        <w:rPr>
          <w:rFonts w:cstheme="minorHAnsi"/>
          <w:b/>
        </w:rPr>
        <w:t>start</w:t>
      </w:r>
      <w:r w:rsidR="00F05C9E">
        <w:rPr>
          <w:rFonts w:cstheme="minorHAnsi"/>
          <w:b/>
        </w:rPr>
        <w:t>-</w:t>
      </w:r>
      <w:r w:rsidR="00F05C9E" w:rsidRPr="006B4414">
        <w:rPr>
          <w:rFonts w:cstheme="minorHAnsi"/>
          <w:b/>
        </w:rPr>
        <w:t>up</w:t>
      </w:r>
      <w:r w:rsidRPr="006B4414">
        <w:rPr>
          <w:rFonts w:cstheme="minorHAnsi"/>
          <w:b/>
        </w:rPr>
        <w:t xml:space="preserve"> finance</w:t>
      </w:r>
    </w:p>
    <w:p w14:paraId="010A64CA" w14:textId="6FBCE415" w:rsidR="00A11060" w:rsidRDefault="0054758D" w:rsidP="00F015CC">
      <w:pPr>
        <w:spacing w:line="240" w:lineRule="auto"/>
        <w:rPr>
          <w:rFonts w:cstheme="minorHAnsi"/>
        </w:rPr>
      </w:pPr>
      <w:hyperlink r:id="rId20" w:history="1">
        <w:r w:rsidR="001F4E21" w:rsidRPr="003F73C2">
          <w:rPr>
            <w:rStyle w:val="Hyperlink"/>
            <w:rFonts w:cstheme="minorHAnsi"/>
          </w:rPr>
          <w:t>https://economist.kg/2019/10/14/10-biznesmenov-poluchat-kredity-ot-rkfr-po-linii-finansirovaniya-startapov/</w:t>
        </w:r>
      </w:hyperlink>
    </w:p>
    <w:p w14:paraId="726E52EA" w14:textId="42B9FBD2" w:rsidR="00A11060" w:rsidRDefault="0054758D" w:rsidP="00F015CC">
      <w:pPr>
        <w:spacing w:line="240" w:lineRule="auto"/>
        <w:rPr>
          <w:rFonts w:cstheme="minorHAnsi"/>
        </w:rPr>
      </w:pPr>
      <w:hyperlink r:id="rId21" w:history="1">
        <w:r w:rsidR="00A11060" w:rsidRPr="003F73C2">
          <w:rPr>
            <w:rStyle w:val="Hyperlink"/>
            <w:rFonts w:cstheme="minorHAnsi"/>
          </w:rPr>
          <w:t>https://www.akchabar.kg/ru/news/v-kr-obsudili-mehanizm-finansirovaniya-startap-proektov-v-regionah/</w:t>
        </w:r>
      </w:hyperlink>
    </w:p>
    <w:p w14:paraId="5EC59957" w14:textId="77777777" w:rsidR="00A11060" w:rsidRDefault="00A11060" w:rsidP="00F015CC">
      <w:pPr>
        <w:spacing w:line="240" w:lineRule="auto"/>
        <w:rPr>
          <w:rFonts w:cstheme="minorHAnsi"/>
        </w:rPr>
      </w:pPr>
    </w:p>
    <w:p w14:paraId="19C325AF" w14:textId="77777777" w:rsidR="001F4E21" w:rsidRPr="00F015CC" w:rsidRDefault="001F4E21" w:rsidP="00F015CC">
      <w:pPr>
        <w:spacing w:line="240" w:lineRule="auto"/>
        <w:rPr>
          <w:rFonts w:cstheme="minorHAnsi"/>
        </w:rPr>
      </w:pPr>
    </w:p>
    <w:p w14:paraId="6E46575F" w14:textId="77777777" w:rsidR="005B2792" w:rsidRDefault="00ED5587" w:rsidP="00F015CC">
      <w:pPr>
        <w:spacing w:line="240" w:lineRule="auto"/>
        <w:rPr>
          <w:rFonts w:cstheme="minorHAnsi"/>
        </w:rPr>
      </w:pPr>
      <w:r w:rsidRPr="00F015CC">
        <w:rPr>
          <w:rFonts w:cstheme="minorHAnsi"/>
        </w:rPr>
        <w:t xml:space="preserve"> </w:t>
      </w:r>
    </w:p>
    <w:p w14:paraId="1B92DBB0" w14:textId="77777777" w:rsidR="00C3513F" w:rsidRDefault="00C3513F" w:rsidP="00F015CC">
      <w:pPr>
        <w:spacing w:line="240" w:lineRule="auto"/>
        <w:rPr>
          <w:rFonts w:cstheme="minorHAnsi"/>
        </w:rPr>
      </w:pPr>
    </w:p>
    <w:sectPr w:rsidR="00C3513F" w:rsidSect="00D07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198FE" w14:textId="77777777" w:rsidR="0054758D" w:rsidRDefault="0054758D">
      <w:pPr>
        <w:spacing w:after="0" w:line="240" w:lineRule="auto"/>
      </w:pPr>
      <w:r>
        <w:separator/>
      </w:r>
    </w:p>
  </w:endnote>
  <w:endnote w:type="continuationSeparator" w:id="0">
    <w:p w14:paraId="629B876C" w14:textId="77777777" w:rsidR="0054758D" w:rsidRDefault="0054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3FA5" w14:textId="77777777" w:rsidR="002C0979" w:rsidRPr="00EF68F1" w:rsidRDefault="002C0979" w:rsidP="00EF68F1">
    <w:pPr>
      <w:pStyle w:val="Footer"/>
      <w:jc w:val="right"/>
      <w:rPr>
        <w:rFonts w:ascii="Times New Roman" w:hAnsi="Times New Roman" w:cs="Times New Roman"/>
        <w:sz w:val="20"/>
        <w:szCs w:val="20"/>
      </w:rPr>
    </w:pPr>
    <w:r w:rsidRPr="00EF68F1">
      <w:rPr>
        <w:rFonts w:ascii="Times New Roman" w:hAnsi="Times New Roman" w:cs="Times New Roman"/>
        <w:sz w:val="20"/>
        <w:szCs w:val="20"/>
      </w:rPr>
      <w:fldChar w:fldCharType="begin"/>
    </w:r>
    <w:r w:rsidRPr="00EF68F1">
      <w:rPr>
        <w:rFonts w:ascii="Times New Roman" w:hAnsi="Times New Roman" w:cs="Times New Roman"/>
        <w:sz w:val="20"/>
        <w:szCs w:val="20"/>
      </w:rPr>
      <w:instrText xml:space="preserve"> PAGE   \* MERGEFORMAT </w:instrText>
    </w:r>
    <w:r w:rsidRPr="00EF68F1">
      <w:rPr>
        <w:rFonts w:ascii="Times New Roman" w:hAnsi="Times New Roman" w:cs="Times New Roman"/>
        <w:sz w:val="20"/>
        <w:szCs w:val="20"/>
      </w:rPr>
      <w:fldChar w:fldCharType="separate"/>
    </w:r>
    <w:r w:rsidR="003C375D">
      <w:rPr>
        <w:rFonts w:ascii="Times New Roman" w:hAnsi="Times New Roman" w:cs="Times New Roman"/>
        <w:noProof/>
        <w:sz w:val="20"/>
        <w:szCs w:val="20"/>
      </w:rPr>
      <w:t>6</w:t>
    </w:r>
    <w:r w:rsidRPr="00EF68F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96CE" w14:textId="77777777" w:rsidR="0054758D" w:rsidRDefault="0054758D">
      <w:pPr>
        <w:spacing w:after="0" w:line="240" w:lineRule="auto"/>
      </w:pPr>
      <w:r>
        <w:separator/>
      </w:r>
    </w:p>
  </w:footnote>
  <w:footnote w:type="continuationSeparator" w:id="0">
    <w:p w14:paraId="051EBFD8" w14:textId="77777777" w:rsidR="0054758D" w:rsidRDefault="00547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1004"/>
    <w:multiLevelType w:val="hybridMultilevel"/>
    <w:tmpl w:val="4DB482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0B3F5A"/>
    <w:multiLevelType w:val="hybridMultilevel"/>
    <w:tmpl w:val="218A2E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74B56"/>
    <w:multiLevelType w:val="hybridMultilevel"/>
    <w:tmpl w:val="DC0C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27EF8"/>
    <w:multiLevelType w:val="hybridMultilevel"/>
    <w:tmpl w:val="83BAE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A30EA2"/>
    <w:multiLevelType w:val="hybridMultilevel"/>
    <w:tmpl w:val="24E23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19764D"/>
    <w:multiLevelType w:val="hybridMultilevel"/>
    <w:tmpl w:val="85FEE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141D19"/>
    <w:multiLevelType w:val="hybridMultilevel"/>
    <w:tmpl w:val="D68A2B0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7" w15:restartNumberingAfterBreak="0">
    <w:nsid w:val="27C56EEF"/>
    <w:multiLevelType w:val="hybridMultilevel"/>
    <w:tmpl w:val="925C793E"/>
    <w:lvl w:ilvl="0" w:tplc="AE0EEED2">
      <w:start w:val="1"/>
      <w:numFmt w:val="lowerRoman"/>
      <w:lvlText w:val="%1)"/>
      <w:lvlJc w:val="left"/>
      <w:pPr>
        <w:ind w:left="1627" w:hanging="720"/>
      </w:pPr>
      <w:rPr>
        <w:rFonts w:hint="default"/>
      </w:rPr>
    </w:lvl>
    <w:lvl w:ilvl="1" w:tplc="20000019" w:tentative="1">
      <w:start w:val="1"/>
      <w:numFmt w:val="lowerLetter"/>
      <w:lvlText w:val="%2."/>
      <w:lvlJc w:val="left"/>
      <w:pPr>
        <w:ind w:left="1987" w:hanging="360"/>
      </w:pPr>
    </w:lvl>
    <w:lvl w:ilvl="2" w:tplc="2000001B" w:tentative="1">
      <w:start w:val="1"/>
      <w:numFmt w:val="lowerRoman"/>
      <w:lvlText w:val="%3."/>
      <w:lvlJc w:val="right"/>
      <w:pPr>
        <w:ind w:left="2707" w:hanging="180"/>
      </w:pPr>
    </w:lvl>
    <w:lvl w:ilvl="3" w:tplc="2000000F" w:tentative="1">
      <w:start w:val="1"/>
      <w:numFmt w:val="decimal"/>
      <w:lvlText w:val="%4."/>
      <w:lvlJc w:val="left"/>
      <w:pPr>
        <w:ind w:left="3427" w:hanging="360"/>
      </w:pPr>
    </w:lvl>
    <w:lvl w:ilvl="4" w:tplc="20000019" w:tentative="1">
      <w:start w:val="1"/>
      <w:numFmt w:val="lowerLetter"/>
      <w:lvlText w:val="%5."/>
      <w:lvlJc w:val="left"/>
      <w:pPr>
        <w:ind w:left="4147" w:hanging="360"/>
      </w:pPr>
    </w:lvl>
    <w:lvl w:ilvl="5" w:tplc="2000001B" w:tentative="1">
      <w:start w:val="1"/>
      <w:numFmt w:val="lowerRoman"/>
      <w:lvlText w:val="%6."/>
      <w:lvlJc w:val="right"/>
      <w:pPr>
        <w:ind w:left="4867" w:hanging="180"/>
      </w:pPr>
    </w:lvl>
    <w:lvl w:ilvl="6" w:tplc="2000000F" w:tentative="1">
      <w:start w:val="1"/>
      <w:numFmt w:val="decimal"/>
      <w:lvlText w:val="%7."/>
      <w:lvlJc w:val="left"/>
      <w:pPr>
        <w:ind w:left="5587" w:hanging="360"/>
      </w:pPr>
    </w:lvl>
    <w:lvl w:ilvl="7" w:tplc="20000019" w:tentative="1">
      <w:start w:val="1"/>
      <w:numFmt w:val="lowerLetter"/>
      <w:lvlText w:val="%8."/>
      <w:lvlJc w:val="left"/>
      <w:pPr>
        <w:ind w:left="6307" w:hanging="360"/>
      </w:pPr>
    </w:lvl>
    <w:lvl w:ilvl="8" w:tplc="2000001B" w:tentative="1">
      <w:start w:val="1"/>
      <w:numFmt w:val="lowerRoman"/>
      <w:lvlText w:val="%9."/>
      <w:lvlJc w:val="right"/>
      <w:pPr>
        <w:ind w:left="7027" w:hanging="180"/>
      </w:pPr>
    </w:lvl>
  </w:abstractNum>
  <w:abstractNum w:abstractNumId="8" w15:restartNumberingAfterBreak="0">
    <w:nsid w:val="2C47659E"/>
    <w:multiLevelType w:val="multilevel"/>
    <w:tmpl w:val="4C3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0510BE"/>
    <w:multiLevelType w:val="hybridMultilevel"/>
    <w:tmpl w:val="DB946EB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0" w15:restartNumberingAfterBreak="0">
    <w:nsid w:val="2FD83E78"/>
    <w:multiLevelType w:val="hybridMultilevel"/>
    <w:tmpl w:val="8B5608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1" w15:restartNumberingAfterBreak="0">
    <w:nsid w:val="32DB3144"/>
    <w:multiLevelType w:val="multilevel"/>
    <w:tmpl w:val="7F845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635267"/>
    <w:multiLevelType w:val="hybridMultilevel"/>
    <w:tmpl w:val="F2461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CD920ED"/>
    <w:multiLevelType w:val="hybridMultilevel"/>
    <w:tmpl w:val="D1983CA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4" w15:restartNumberingAfterBreak="0">
    <w:nsid w:val="4270058C"/>
    <w:multiLevelType w:val="hybridMultilevel"/>
    <w:tmpl w:val="1CBEFF1C"/>
    <w:lvl w:ilvl="0" w:tplc="20000001">
      <w:start w:val="1"/>
      <w:numFmt w:val="bullet"/>
      <w:pStyle w:val="BulletGCF"/>
      <w:lvlText w:val=""/>
      <w:lvlJc w:val="left"/>
      <w:pPr>
        <w:ind w:left="2347" w:hanging="360"/>
      </w:pPr>
      <w:rPr>
        <w:rFonts w:ascii="Symbol" w:hAnsi="Symbol" w:hint="default"/>
      </w:rPr>
    </w:lvl>
    <w:lvl w:ilvl="1" w:tplc="20000003" w:tentative="1">
      <w:start w:val="1"/>
      <w:numFmt w:val="bullet"/>
      <w:lvlText w:val="o"/>
      <w:lvlJc w:val="left"/>
      <w:pPr>
        <w:ind w:left="3067" w:hanging="360"/>
      </w:pPr>
      <w:rPr>
        <w:rFonts w:ascii="Courier New" w:hAnsi="Courier New" w:cs="Courier New" w:hint="default"/>
      </w:rPr>
    </w:lvl>
    <w:lvl w:ilvl="2" w:tplc="20000005" w:tentative="1">
      <w:start w:val="1"/>
      <w:numFmt w:val="bullet"/>
      <w:lvlText w:val=""/>
      <w:lvlJc w:val="left"/>
      <w:pPr>
        <w:ind w:left="3787" w:hanging="360"/>
      </w:pPr>
      <w:rPr>
        <w:rFonts w:ascii="Wingdings" w:hAnsi="Wingdings" w:hint="default"/>
      </w:rPr>
    </w:lvl>
    <w:lvl w:ilvl="3" w:tplc="20000001" w:tentative="1">
      <w:start w:val="1"/>
      <w:numFmt w:val="bullet"/>
      <w:lvlText w:val=""/>
      <w:lvlJc w:val="left"/>
      <w:pPr>
        <w:ind w:left="4507" w:hanging="360"/>
      </w:pPr>
      <w:rPr>
        <w:rFonts w:ascii="Symbol" w:hAnsi="Symbol" w:hint="default"/>
      </w:rPr>
    </w:lvl>
    <w:lvl w:ilvl="4" w:tplc="20000003" w:tentative="1">
      <w:start w:val="1"/>
      <w:numFmt w:val="bullet"/>
      <w:lvlText w:val="o"/>
      <w:lvlJc w:val="left"/>
      <w:pPr>
        <w:ind w:left="5227" w:hanging="360"/>
      </w:pPr>
      <w:rPr>
        <w:rFonts w:ascii="Courier New" w:hAnsi="Courier New" w:cs="Courier New" w:hint="default"/>
      </w:rPr>
    </w:lvl>
    <w:lvl w:ilvl="5" w:tplc="20000005" w:tentative="1">
      <w:start w:val="1"/>
      <w:numFmt w:val="bullet"/>
      <w:lvlText w:val=""/>
      <w:lvlJc w:val="left"/>
      <w:pPr>
        <w:ind w:left="5947" w:hanging="360"/>
      </w:pPr>
      <w:rPr>
        <w:rFonts w:ascii="Wingdings" w:hAnsi="Wingdings" w:hint="default"/>
      </w:rPr>
    </w:lvl>
    <w:lvl w:ilvl="6" w:tplc="20000001" w:tentative="1">
      <w:start w:val="1"/>
      <w:numFmt w:val="bullet"/>
      <w:lvlText w:val=""/>
      <w:lvlJc w:val="left"/>
      <w:pPr>
        <w:ind w:left="6667" w:hanging="360"/>
      </w:pPr>
      <w:rPr>
        <w:rFonts w:ascii="Symbol" w:hAnsi="Symbol" w:hint="default"/>
      </w:rPr>
    </w:lvl>
    <w:lvl w:ilvl="7" w:tplc="20000003" w:tentative="1">
      <w:start w:val="1"/>
      <w:numFmt w:val="bullet"/>
      <w:lvlText w:val="o"/>
      <w:lvlJc w:val="left"/>
      <w:pPr>
        <w:ind w:left="7387" w:hanging="360"/>
      </w:pPr>
      <w:rPr>
        <w:rFonts w:ascii="Courier New" w:hAnsi="Courier New" w:cs="Courier New" w:hint="default"/>
      </w:rPr>
    </w:lvl>
    <w:lvl w:ilvl="8" w:tplc="20000005" w:tentative="1">
      <w:start w:val="1"/>
      <w:numFmt w:val="bullet"/>
      <w:lvlText w:val=""/>
      <w:lvlJc w:val="left"/>
      <w:pPr>
        <w:ind w:left="8107" w:hanging="360"/>
      </w:pPr>
      <w:rPr>
        <w:rFonts w:ascii="Wingdings" w:hAnsi="Wingdings" w:hint="default"/>
      </w:rPr>
    </w:lvl>
  </w:abstractNum>
  <w:abstractNum w:abstractNumId="15" w15:restartNumberingAfterBreak="0">
    <w:nsid w:val="4A4A2BB9"/>
    <w:multiLevelType w:val="hybridMultilevel"/>
    <w:tmpl w:val="1E88A7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56C055EE"/>
    <w:multiLevelType w:val="hybridMultilevel"/>
    <w:tmpl w:val="85B28962"/>
    <w:lvl w:ilvl="0" w:tplc="20000001">
      <w:start w:val="1"/>
      <w:numFmt w:val="bullet"/>
      <w:lvlText w:val=""/>
      <w:lvlJc w:val="left"/>
      <w:pPr>
        <w:ind w:left="2347" w:hanging="360"/>
      </w:pPr>
      <w:rPr>
        <w:rFonts w:ascii="Symbol" w:hAnsi="Symbol" w:hint="default"/>
      </w:rPr>
    </w:lvl>
    <w:lvl w:ilvl="1" w:tplc="20000003" w:tentative="1">
      <w:start w:val="1"/>
      <w:numFmt w:val="bullet"/>
      <w:lvlText w:val="o"/>
      <w:lvlJc w:val="left"/>
      <w:pPr>
        <w:ind w:left="3067" w:hanging="360"/>
      </w:pPr>
      <w:rPr>
        <w:rFonts w:ascii="Courier New" w:hAnsi="Courier New" w:cs="Courier New" w:hint="default"/>
      </w:rPr>
    </w:lvl>
    <w:lvl w:ilvl="2" w:tplc="20000005" w:tentative="1">
      <w:start w:val="1"/>
      <w:numFmt w:val="bullet"/>
      <w:lvlText w:val=""/>
      <w:lvlJc w:val="left"/>
      <w:pPr>
        <w:ind w:left="3787" w:hanging="360"/>
      </w:pPr>
      <w:rPr>
        <w:rFonts w:ascii="Wingdings" w:hAnsi="Wingdings" w:hint="default"/>
      </w:rPr>
    </w:lvl>
    <w:lvl w:ilvl="3" w:tplc="20000001" w:tentative="1">
      <w:start w:val="1"/>
      <w:numFmt w:val="bullet"/>
      <w:lvlText w:val=""/>
      <w:lvlJc w:val="left"/>
      <w:pPr>
        <w:ind w:left="4507" w:hanging="360"/>
      </w:pPr>
      <w:rPr>
        <w:rFonts w:ascii="Symbol" w:hAnsi="Symbol" w:hint="default"/>
      </w:rPr>
    </w:lvl>
    <w:lvl w:ilvl="4" w:tplc="20000003" w:tentative="1">
      <w:start w:val="1"/>
      <w:numFmt w:val="bullet"/>
      <w:lvlText w:val="o"/>
      <w:lvlJc w:val="left"/>
      <w:pPr>
        <w:ind w:left="5227" w:hanging="360"/>
      </w:pPr>
      <w:rPr>
        <w:rFonts w:ascii="Courier New" w:hAnsi="Courier New" w:cs="Courier New" w:hint="default"/>
      </w:rPr>
    </w:lvl>
    <w:lvl w:ilvl="5" w:tplc="20000005" w:tentative="1">
      <w:start w:val="1"/>
      <w:numFmt w:val="bullet"/>
      <w:lvlText w:val=""/>
      <w:lvlJc w:val="left"/>
      <w:pPr>
        <w:ind w:left="5947" w:hanging="360"/>
      </w:pPr>
      <w:rPr>
        <w:rFonts w:ascii="Wingdings" w:hAnsi="Wingdings" w:hint="default"/>
      </w:rPr>
    </w:lvl>
    <w:lvl w:ilvl="6" w:tplc="20000001" w:tentative="1">
      <w:start w:val="1"/>
      <w:numFmt w:val="bullet"/>
      <w:lvlText w:val=""/>
      <w:lvlJc w:val="left"/>
      <w:pPr>
        <w:ind w:left="6667" w:hanging="360"/>
      </w:pPr>
      <w:rPr>
        <w:rFonts w:ascii="Symbol" w:hAnsi="Symbol" w:hint="default"/>
      </w:rPr>
    </w:lvl>
    <w:lvl w:ilvl="7" w:tplc="20000003" w:tentative="1">
      <w:start w:val="1"/>
      <w:numFmt w:val="bullet"/>
      <w:lvlText w:val="o"/>
      <w:lvlJc w:val="left"/>
      <w:pPr>
        <w:ind w:left="7387" w:hanging="360"/>
      </w:pPr>
      <w:rPr>
        <w:rFonts w:ascii="Courier New" w:hAnsi="Courier New" w:cs="Courier New" w:hint="default"/>
      </w:rPr>
    </w:lvl>
    <w:lvl w:ilvl="8" w:tplc="20000005" w:tentative="1">
      <w:start w:val="1"/>
      <w:numFmt w:val="bullet"/>
      <w:lvlText w:val=""/>
      <w:lvlJc w:val="left"/>
      <w:pPr>
        <w:ind w:left="8107" w:hanging="360"/>
      </w:pPr>
      <w:rPr>
        <w:rFonts w:ascii="Wingdings" w:hAnsi="Wingdings" w:hint="default"/>
      </w:rPr>
    </w:lvl>
  </w:abstractNum>
  <w:abstractNum w:abstractNumId="17" w15:restartNumberingAfterBreak="0">
    <w:nsid w:val="5742396D"/>
    <w:multiLevelType w:val="hybridMultilevel"/>
    <w:tmpl w:val="87961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CEA595B"/>
    <w:multiLevelType w:val="hybridMultilevel"/>
    <w:tmpl w:val="9030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B44A6"/>
    <w:multiLevelType w:val="hybridMultilevel"/>
    <w:tmpl w:val="3AF09B7C"/>
    <w:lvl w:ilvl="0" w:tplc="D2D2637E">
      <w:start w:val="1"/>
      <w:numFmt w:val="decimal"/>
      <w:lvlText w:val="%1."/>
      <w:lvlJc w:val="left"/>
      <w:pPr>
        <w:ind w:left="360" w:hanging="360"/>
      </w:pPr>
      <w:rPr>
        <w:rFonts w:ascii="Times New Roman" w:hAnsi="Times New Roman"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C2728E2"/>
    <w:multiLevelType w:val="hybridMultilevel"/>
    <w:tmpl w:val="3F8C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3"/>
  </w:num>
  <w:num w:numId="5">
    <w:abstractNumId w:val="1"/>
  </w:num>
  <w:num w:numId="6">
    <w:abstractNumId w:val="5"/>
  </w:num>
  <w:num w:numId="7">
    <w:abstractNumId w:val="0"/>
  </w:num>
  <w:num w:numId="8">
    <w:abstractNumId w:val="8"/>
  </w:num>
  <w:num w:numId="9">
    <w:abstractNumId w:val="12"/>
  </w:num>
  <w:num w:numId="10">
    <w:abstractNumId w:val="11"/>
  </w:num>
  <w:num w:numId="11">
    <w:abstractNumId w:val="15"/>
  </w:num>
  <w:num w:numId="12">
    <w:abstractNumId w:val="10"/>
  </w:num>
  <w:num w:numId="13">
    <w:abstractNumId w:val="18"/>
  </w:num>
  <w:num w:numId="14">
    <w:abstractNumId w:val="20"/>
  </w:num>
  <w:num w:numId="15">
    <w:abstractNumId w:val="17"/>
  </w:num>
  <w:num w:numId="16">
    <w:abstractNumId w:val="7"/>
  </w:num>
  <w:num w:numId="17">
    <w:abstractNumId w:val="16"/>
  </w:num>
  <w:num w:numId="18">
    <w:abstractNumId w:val="13"/>
  </w:num>
  <w:num w:numId="19">
    <w:abstractNumId w:val="9"/>
  </w:num>
  <w:num w:numId="20">
    <w:abstractNumId w:val="6"/>
  </w:num>
  <w:num w:numId="21">
    <w:abstractNumId w:val="14"/>
  </w:num>
  <w:num w:numId="22">
    <w:abstractNumId w:val="14"/>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7"/>
  <w:drawingGridVerticalSpacing w:val="18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2A"/>
    <w:rsid w:val="00002FDE"/>
    <w:rsid w:val="0001439E"/>
    <w:rsid w:val="00026F8F"/>
    <w:rsid w:val="00031FD3"/>
    <w:rsid w:val="00032AD7"/>
    <w:rsid w:val="00032F0B"/>
    <w:rsid w:val="000370C3"/>
    <w:rsid w:val="000412AF"/>
    <w:rsid w:val="00042047"/>
    <w:rsid w:val="000479D4"/>
    <w:rsid w:val="000518D8"/>
    <w:rsid w:val="00060733"/>
    <w:rsid w:val="00060CE9"/>
    <w:rsid w:val="00067C20"/>
    <w:rsid w:val="00071FAB"/>
    <w:rsid w:val="00073849"/>
    <w:rsid w:val="000776EF"/>
    <w:rsid w:val="00077FED"/>
    <w:rsid w:val="00081D6D"/>
    <w:rsid w:val="00086F95"/>
    <w:rsid w:val="0009233D"/>
    <w:rsid w:val="00095144"/>
    <w:rsid w:val="00095FD3"/>
    <w:rsid w:val="000966B9"/>
    <w:rsid w:val="000A0B8E"/>
    <w:rsid w:val="000A0F60"/>
    <w:rsid w:val="000A27EE"/>
    <w:rsid w:val="000A2D35"/>
    <w:rsid w:val="000A30D3"/>
    <w:rsid w:val="000A4A40"/>
    <w:rsid w:val="000B14E0"/>
    <w:rsid w:val="000B228F"/>
    <w:rsid w:val="000B7E60"/>
    <w:rsid w:val="000C105E"/>
    <w:rsid w:val="000D1071"/>
    <w:rsid w:val="000D1C30"/>
    <w:rsid w:val="000D4C80"/>
    <w:rsid w:val="000E2854"/>
    <w:rsid w:val="000E495F"/>
    <w:rsid w:val="000E5294"/>
    <w:rsid w:val="000E5A24"/>
    <w:rsid w:val="000F31DD"/>
    <w:rsid w:val="000F7541"/>
    <w:rsid w:val="00101003"/>
    <w:rsid w:val="00111419"/>
    <w:rsid w:val="00113F74"/>
    <w:rsid w:val="00114779"/>
    <w:rsid w:val="00116566"/>
    <w:rsid w:val="00122022"/>
    <w:rsid w:val="0013023D"/>
    <w:rsid w:val="00130E43"/>
    <w:rsid w:val="00131001"/>
    <w:rsid w:val="001330A4"/>
    <w:rsid w:val="00133FC5"/>
    <w:rsid w:val="00152836"/>
    <w:rsid w:val="0015490B"/>
    <w:rsid w:val="00164D06"/>
    <w:rsid w:val="001653A8"/>
    <w:rsid w:val="00166E3B"/>
    <w:rsid w:val="00176EE5"/>
    <w:rsid w:val="001861FC"/>
    <w:rsid w:val="00187234"/>
    <w:rsid w:val="001875A9"/>
    <w:rsid w:val="00192823"/>
    <w:rsid w:val="00193653"/>
    <w:rsid w:val="001950DB"/>
    <w:rsid w:val="001A5BA9"/>
    <w:rsid w:val="001B0A42"/>
    <w:rsid w:val="001B11FC"/>
    <w:rsid w:val="001B1F64"/>
    <w:rsid w:val="001B2FAB"/>
    <w:rsid w:val="001B4993"/>
    <w:rsid w:val="001B6434"/>
    <w:rsid w:val="001C533B"/>
    <w:rsid w:val="001C5DEB"/>
    <w:rsid w:val="001D70E2"/>
    <w:rsid w:val="001E58D6"/>
    <w:rsid w:val="001F2624"/>
    <w:rsid w:val="001F2BA0"/>
    <w:rsid w:val="001F2F4A"/>
    <w:rsid w:val="001F4E21"/>
    <w:rsid w:val="001F58C2"/>
    <w:rsid w:val="001F5E61"/>
    <w:rsid w:val="002002FF"/>
    <w:rsid w:val="0020047E"/>
    <w:rsid w:val="00201242"/>
    <w:rsid w:val="002035D7"/>
    <w:rsid w:val="00207B02"/>
    <w:rsid w:val="00212E37"/>
    <w:rsid w:val="00213B0D"/>
    <w:rsid w:val="0021707B"/>
    <w:rsid w:val="00217520"/>
    <w:rsid w:val="00222AA2"/>
    <w:rsid w:val="00227549"/>
    <w:rsid w:val="00230A13"/>
    <w:rsid w:val="00231EA6"/>
    <w:rsid w:val="002326C2"/>
    <w:rsid w:val="00232EAA"/>
    <w:rsid w:val="00236403"/>
    <w:rsid w:val="002378F8"/>
    <w:rsid w:val="00237B32"/>
    <w:rsid w:val="0024307D"/>
    <w:rsid w:val="00251A39"/>
    <w:rsid w:val="00256580"/>
    <w:rsid w:val="0027058B"/>
    <w:rsid w:val="00272409"/>
    <w:rsid w:val="00283CC9"/>
    <w:rsid w:val="002850AD"/>
    <w:rsid w:val="002862CC"/>
    <w:rsid w:val="00286BD1"/>
    <w:rsid w:val="002917A1"/>
    <w:rsid w:val="0029198C"/>
    <w:rsid w:val="0029222D"/>
    <w:rsid w:val="0029309D"/>
    <w:rsid w:val="00294C02"/>
    <w:rsid w:val="00295204"/>
    <w:rsid w:val="00295E98"/>
    <w:rsid w:val="00296195"/>
    <w:rsid w:val="002A2B91"/>
    <w:rsid w:val="002A474F"/>
    <w:rsid w:val="002B02E5"/>
    <w:rsid w:val="002B1AE3"/>
    <w:rsid w:val="002B748D"/>
    <w:rsid w:val="002C0979"/>
    <w:rsid w:val="002C29ED"/>
    <w:rsid w:val="002C3BC2"/>
    <w:rsid w:val="002C4E2C"/>
    <w:rsid w:val="002C5BBF"/>
    <w:rsid w:val="002C5C9A"/>
    <w:rsid w:val="002C7329"/>
    <w:rsid w:val="002D000D"/>
    <w:rsid w:val="002D34E9"/>
    <w:rsid w:val="002D63C0"/>
    <w:rsid w:val="002E1FBB"/>
    <w:rsid w:val="002E3993"/>
    <w:rsid w:val="002E4FEC"/>
    <w:rsid w:val="002E63E9"/>
    <w:rsid w:val="002E6770"/>
    <w:rsid w:val="00302F74"/>
    <w:rsid w:val="00304AE3"/>
    <w:rsid w:val="003064C7"/>
    <w:rsid w:val="003079CC"/>
    <w:rsid w:val="0031634B"/>
    <w:rsid w:val="00317A47"/>
    <w:rsid w:val="00322BA8"/>
    <w:rsid w:val="00325E6B"/>
    <w:rsid w:val="0032657E"/>
    <w:rsid w:val="003329B0"/>
    <w:rsid w:val="00334300"/>
    <w:rsid w:val="00336B6C"/>
    <w:rsid w:val="00345EA5"/>
    <w:rsid w:val="00345F4F"/>
    <w:rsid w:val="003512B5"/>
    <w:rsid w:val="00351388"/>
    <w:rsid w:val="00354FDE"/>
    <w:rsid w:val="003674F1"/>
    <w:rsid w:val="00372527"/>
    <w:rsid w:val="00374ADA"/>
    <w:rsid w:val="00376F5C"/>
    <w:rsid w:val="00380414"/>
    <w:rsid w:val="00381708"/>
    <w:rsid w:val="003843AD"/>
    <w:rsid w:val="00394B98"/>
    <w:rsid w:val="00395B84"/>
    <w:rsid w:val="003A15B0"/>
    <w:rsid w:val="003B012C"/>
    <w:rsid w:val="003B4647"/>
    <w:rsid w:val="003C1932"/>
    <w:rsid w:val="003C375D"/>
    <w:rsid w:val="003C7966"/>
    <w:rsid w:val="003D213F"/>
    <w:rsid w:val="003E664D"/>
    <w:rsid w:val="003F1D47"/>
    <w:rsid w:val="0040267A"/>
    <w:rsid w:val="00404F9A"/>
    <w:rsid w:val="00406F2C"/>
    <w:rsid w:val="00407806"/>
    <w:rsid w:val="004113AC"/>
    <w:rsid w:val="00424853"/>
    <w:rsid w:val="00427C6C"/>
    <w:rsid w:val="00443826"/>
    <w:rsid w:val="0044426A"/>
    <w:rsid w:val="00452385"/>
    <w:rsid w:val="004525B4"/>
    <w:rsid w:val="004606D7"/>
    <w:rsid w:val="00461ABE"/>
    <w:rsid w:val="00461E63"/>
    <w:rsid w:val="004647FE"/>
    <w:rsid w:val="004721FE"/>
    <w:rsid w:val="004771FE"/>
    <w:rsid w:val="0047799F"/>
    <w:rsid w:val="00485801"/>
    <w:rsid w:val="00492D72"/>
    <w:rsid w:val="00493B1D"/>
    <w:rsid w:val="004A0B96"/>
    <w:rsid w:val="004A13EA"/>
    <w:rsid w:val="004A3B76"/>
    <w:rsid w:val="004A57C8"/>
    <w:rsid w:val="004B78CC"/>
    <w:rsid w:val="004C3FCF"/>
    <w:rsid w:val="004C4E53"/>
    <w:rsid w:val="004C6071"/>
    <w:rsid w:val="004C652B"/>
    <w:rsid w:val="004D29F7"/>
    <w:rsid w:val="004D5303"/>
    <w:rsid w:val="004E0B37"/>
    <w:rsid w:val="004E123B"/>
    <w:rsid w:val="004E582F"/>
    <w:rsid w:val="004F6541"/>
    <w:rsid w:val="005032C1"/>
    <w:rsid w:val="00507B18"/>
    <w:rsid w:val="005153B0"/>
    <w:rsid w:val="00516BBD"/>
    <w:rsid w:val="005206D4"/>
    <w:rsid w:val="00533666"/>
    <w:rsid w:val="00541757"/>
    <w:rsid w:val="00542674"/>
    <w:rsid w:val="00544697"/>
    <w:rsid w:val="0054758D"/>
    <w:rsid w:val="00547A4E"/>
    <w:rsid w:val="00551FAD"/>
    <w:rsid w:val="005539EA"/>
    <w:rsid w:val="00557B4D"/>
    <w:rsid w:val="0056173F"/>
    <w:rsid w:val="0056309F"/>
    <w:rsid w:val="0056609D"/>
    <w:rsid w:val="00566993"/>
    <w:rsid w:val="00566B12"/>
    <w:rsid w:val="005677E9"/>
    <w:rsid w:val="005729CB"/>
    <w:rsid w:val="00576958"/>
    <w:rsid w:val="00582460"/>
    <w:rsid w:val="0058357E"/>
    <w:rsid w:val="00586650"/>
    <w:rsid w:val="00591D29"/>
    <w:rsid w:val="00591E41"/>
    <w:rsid w:val="00595D04"/>
    <w:rsid w:val="00596AFE"/>
    <w:rsid w:val="0059708B"/>
    <w:rsid w:val="005A0257"/>
    <w:rsid w:val="005A4AEF"/>
    <w:rsid w:val="005A4DE2"/>
    <w:rsid w:val="005B2792"/>
    <w:rsid w:val="005B5410"/>
    <w:rsid w:val="005C220B"/>
    <w:rsid w:val="005C2293"/>
    <w:rsid w:val="005C5CB1"/>
    <w:rsid w:val="005C6B47"/>
    <w:rsid w:val="005D42F5"/>
    <w:rsid w:val="005D6228"/>
    <w:rsid w:val="005D7D45"/>
    <w:rsid w:val="005F06B7"/>
    <w:rsid w:val="005F3E51"/>
    <w:rsid w:val="00602463"/>
    <w:rsid w:val="006028AD"/>
    <w:rsid w:val="00607B90"/>
    <w:rsid w:val="006102B8"/>
    <w:rsid w:val="00614AD3"/>
    <w:rsid w:val="00615F6A"/>
    <w:rsid w:val="006213AD"/>
    <w:rsid w:val="0062178D"/>
    <w:rsid w:val="006316CC"/>
    <w:rsid w:val="006319B2"/>
    <w:rsid w:val="00632BCC"/>
    <w:rsid w:val="00635C84"/>
    <w:rsid w:val="00635D16"/>
    <w:rsid w:val="00641096"/>
    <w:rsid w:val="00642E74"/>
    <w:rsid w:val="006431D8"/>
    <w:rsid w:val="006553CA"/>
    <w:rsid w:val="00656BE0"/>
    <w:rsid w:val="00657043"/>
    <w:rsid w:val="00657254"/>
    <w:rsid w:val="0066028C"/>
    <w:rsid w:val="0066356D"/>
    <w:rsid w:val="00664EBD"/>
    <w:rsid w:val="00667863"/>
    <w:rsid w:val="00671CCC"/>
    <w:rsid w:val="00691041"/>
    <w:rsid w:val="006A236B"/>
    <w:rsid w:val="006A4A9C"/>
    <w:rsid w:val="006B4414"/>
    <w:rsid w:val="006B6D89"/>
    <w:rsid w:val="006C0106"/>
    <w:rsid w:val="006C4F1A"/>
    <w:rsid w:val="006C791F"/>
    <w:rsid w:val="006D04C0"/>
    <w:rsid w:val="006D3E2A"/>
    <w:rsid w:val="006E16DA"/>
    <w:rsid w:val="006E19B5"/>
    <w:rsid w:val="006E62CA"/>
    <w:rsid w:val="006F13A5"/>
    <w:rsid w:val="006F32D8"/>
    <w:rsid w:val="006F7FEC"/>
    <w:rsid w:val="007067FA"/>
    <w:rsid w:val="007100DA"/>
    <w:rsid w:val="00710CFA"/>
    <w:rsid w:val="007150C5"/>
    <w:rsid w:val="00717FFE"/>
    <w:rsid w:val="007229D0"/>
    <w:rsid w:val="00730172"/>
    <w:rsid w:val="00731C11"/>
    <w:rsid w:val="00734CB2"/>
    <w:rsid w:val="00737F53"/>
    <w:rsid w:val="00745392"/>
    <w:rsid w:val="00746306"/>
    <w:rsid w:val="00747D53"/>
    <w:rsid w:val="00750233"/>
    <w:rsid w:val="00756357"/>
    <w:rsid w:val="007569C8"/>
    <w:rsid w:val="00756A98"/>
    <w:rsid w:val="007665A0"/>
    <w:rsid w:val="00770DC0"/>
    <w:rsid w:val="00771883"/>
    <w:rsid w:val="00773131"/>
    <w:rsid w:val="00774E81"/>
    <w:rsid w:val="00776B22"/>
    <w:rsid w:val="00780DB3"/>
    <w:rsid w:val="00784CEE"/>
    <w:rsid w:val="00791331"/>
    <w:rsid w:val="00796DCB"/>
    <w:rsid w:val="00797918"/>
    <w:rsid w:val="007A4E48"/>
    <w:rsid w:val="007A7BE9"/>
    <w:rsid w:val="007B1566"/>
    <w:rsid w:val="007B2AA4"/>
    <w:rsid w:val="007B6B03"/>
    <w:rsid w:val="007B74CE"/>
    <w:rsid w:val="007C01E6"/>
    <w:rsid w:val="007C1F74"/>
    <w:rsid w:val="007C260C"/>
    <w:rsid w:val="007C3669"/>
    <w:rsid w:val="007D12D0"/>
    <w:rsid w:val="007D666C"/>
    <w:rsid w:val="007D6989"/>
    <w:rsid w:val="007D6D0D"/>
    <w:rsid w:val="007E0C54"/>
    <w:rsid w:val="007E316C"/>
    <w:rsid w:val="007F0751"/>
    <w:rsid w:val="007F7F69"/>
    <w:rsid w:val="00800EE1"/>
    <w:rsid w:val="0080469F"/>
    <w:rsid w:val="00805707"/>
    <w:rsid w:val="008104D5"/>
    <w:rsid w:val="00814736"/>
    <w:rsid w:val="00815E23"/>
    <w:rsid w:val="00821473"/>
    <w:rsid w:val="00826BC2"/>
    <w:rsid w:val="0083709E"/>
    <w:rsid w:val="008375A8"/>
    <w:rsid w:val="008450BF"/>
    <w:rsid w:val="00850670"/>
    <w:rsid w:val="00856AF3"/>
    <w:rsid w:val="00862F1B"/>
    <w:rsid w:val="00863A5E"/>
    <w:rsid w:val="00864BBC"/>
    <w:rsid w:val="0086513E"/>
    <w:rsid w:val="00870349"/>
    <w:rsid w:val="00870CAE"/>
    <w:rsid w:val="008804F2"/>
    <w:rsid w:val="00885E40"/>
    <w:rsid w:val="008A3585"/>
    <w:rsid w:val="008B0D97"/>
    <w:rsid w:val="008B1DEF"/>
    <w:rsid w:val="008B45AA"/>
    <w:rsid w:val="008B54C7"/>
    <w:rsid w:val="008C31CA"/>
    <w:rsid w:val="008D0AF8"/>
    <w:rsid w:val="008E4592"/>
    <w:rsid w:val="008F033F"/>
    <w:rsid w:val="008F24EE"/>
    <w:rsid w:val="008F44FD"/>
    <w:rsid w:val="00904B8E"/>
    <w:rsid w:val="0090525B"/>
    <w:rsid w:val="0090599A"/>
    <w:rsid w:val="00906016"/>
    <w:rsid w:val="009074C1"/>
    <w:rsid w:val="00907B4A"/>
    <w:rsid w:val="00911AD9"/>
    <w:rsid w:val="00912C7E"/>
    <w:rsid w:val="0092015F"/>
    <w:rsid w:val="0092203B"/>
    <w:rsid w:val="00923191"/>
    <w:rsid w:val="00923446"/>
    <w:rsid w:val="00930FDA"/>
    <w:rsid w:val="00932429"/>
    <w:rsid w:val="0094210A"/>
    <w:rsid w:val="009453C3"/>
    <w:rsid w:val="00955B68"/>
    <w:rsid w:val="00956C06"/>
    <w:rsid w:val="00960A01"/>
    <w:rsid w:val="0096396B"/>
    <w:rsid w:val="0096738F"/>
    <w:rsid w:val="00970457"/>
    <w:rsid w:val="00985EE9"/>
    <w:rsid w:val="009865C1"/>
    <w:rsid w:val="00986D96"/>
    <w:rsid w:val="00994987"/>
    <w:rsid w:val="0099500B"/>
    <w:rsid w:val="0099505A"/>
    <w:rsid w:val="009952F0"/>
    <w:rsid w:val="009A0977"/>
    <w:rsid w:val="009A0B16"/>
    <w:rsid w:val="009A2860"/>
    <w:rsid w:val="009A351D"/>
    <w:rsid w:val="009A62D3"/>
    <w:rsid w:val="009B3EF8"/>
    <w:rsid w:val="009B5D84"/>
    <w:rsid w:val="009C2496"/>
    <w:rsid w:val="009C2B90"/>
    <w:rsid w:val="009C5D9B"/>
    <w:rsid w:val="009C6066"/>
    <w:rsid w:val="009D00F5"/>
    <w:rsid w:val="009D0FB7"/>
    <w:rsid w:val="009D6AF9"/>
    <w:rsid w:val="009D7401"/>
    <w:rsid w:val="009E2A5E"/>
    <w:rsid w:val="009F5304"/>
    <w:rsid w:val="00A028D1"/>
    <w:rsid w:val="00A048C3"/>
    <w:rsid w:val="00A05486"/>
    <w:rsid w:val="00A05A98"/>
    <w:rsid w:val="00A06326"/>
    <w:rsid w:val="00A10D19"/>
    <w:rsid w:val="00A11060"/>
    <w:rsid w:val="00A252C9"/>
    <w:rsid w:val="00A33C2F"/>
    <w:rsid w:val="00A33F33"/>
    <w:rsid w:val="00A348A9"/>
    <w:rsid w:val="00A36DA0"/>
    <w:rsid w:val="00A416F7"/>
    <w:rsid w:val="00A4336F"/>
    <w:rsid w:val="00A4383B"/>
    <w:rsid w:val="00A43AC4"/>
    <w:rsid w:val="00A46442"/>
    <w:rsid w:val="00A47095"/>
    <w:rsid w:val="00A4788A"/>
    <w:rsid w:val="00A543C2"/>
    <w:rsid w:val="00A61A91"/>
    <w:rsid w:val="00A656E3"/>
    <w:rsid w:val="00A77026"/>
    <w:rsid w:val="00A80DB2"/>
    <w:rsid w:val="00A82144"/>
    <w:rsid w:val="00A923CB"/>
    <w:rsid w:val="00AA33ED"/>
    <w:rsid w:val="00AA51C6"/>
    <w:rsid w:val="00AA7F42"/>
    <w:rsid w:val="00AB11B7"/>
    <w:rsid w:val="00AB2E13"/>
    <w:rsid w:val="00AB3D8F"/>
    <w:rsid w:val="00AB453C"/>
    <w:rsid w:val="00AC123A"/>
    <w:rsid w:val="00AC13E2"/>
    <w:rsid w:val="00AC2A1A"/>
    <w:rsid w:val="00AC44FE"/>
    <w:rsid w:val="00AC4921"/>
    <w:rsid w:val="00AD116A"/>
    <w:rsid w:val="00AD3FDB"/>
    <w:rsid w:val="00AE07E3"/>
    <w:rsid w:val="00AE2364"/>
    <w:rsid w:val="00AF55A9"/>
    <w:rsid w:val="00AF57E0"/>
    <w:rsid w:val="00B018A8"/>
    <w:rsid w:val="00B0400D"/>
    <w:rsid w:val="00B04210"/>
    <w:rsid w:val="00B05B7F"/>
    <w:rsid w:val="00B0711D"/>
    <w:rsid w:val="00B079E7"/>
    <w:rsid w:val="00B11455"/>
    <w:rsid w:val="00B214D8"/>
    <w:rsid w:val="00B2492B"/>
    <w:rsid w:val="00B25224"/>
    <w:rsid w:val="00B25AFC"/>
    <w:rsid w:val="00B3320F"/>
    <w:rsid w:val="00B35DC8"/>
    <w:rsid w:val="00B4226E"/>
    <w:rsid w:val="00B43AFE"/>
    <w:rsid w:val="00B52D2F"/>
    <w:rsid w:val="00B541B0"/>
    <w:rsid w:val="00B55A22"/>
    <w:rsid w:val="00B57AD4"/>
    <w:rsid w:val="00B61169"/>
    <w:rsid w:val="00B64CE9"/>
    <w:rsid w:val="00B6654C"/>
    <w:rsid w:val="00B70338"/>
    <w:rsid w:val="00B75A11"/>
    <w:rsid w:val="00B81AF6"/>
    <w:rsid w:val="00B85538"/>
    <w:rsid w:val="00B87D90"/>
    <w:rsid w:val="00B93CE1"/>
    <w:rsid w:val="00B93D41"/>
    <w:rsid w:val="00B9423F"/>
    <w:rsid w:val="00BB6923"/>
    <w:rsid w:val="00BC1584"/>
    <w:rsid w:val="00BC4C9B"/>
    <w:rsid w:val="00BE20F5"/>
    <w:rsid w:val="00BE5207"/>
    <w:rsid w:val="00BE5274"/>
    <w:rsid w:val="00BF2357"/>
    <w:rsid w:val="00BF52CA"/>
    <w:rsid w:val="00BF7C4D"/>
    <w:rsid w:val="00C02FA2"/>
    <w:rsid w:val="00C03072"/>
    <w:rsid w:val="00C03C59"/>
    <w:rsid w:val="00C0477C"/>
    <w:rsid w:val="00C113BC"/>
    <w:rsid w:val="00C20F6A"/>
    <w:rsid w:val="00C210C0"/>
    <w:rsid w:val="00C2239E"/>
    <w:rsid w:val="00C22CD6"/>
    <w:rsid w:val="00C25C21"/>
    <w:rsid w:val="00C3513F"/>
    <w:rsid w:val="00C361F6"/>
    <w:rsid w:val="00C4191B"/>
    <w:rsid w:val="00C43F79"/>
    <w:rsid w:val="00C45BCC"/>
    <w:rsid w:val="00C53304"/>
    <w:rsid w:val="00C63EDD"/>
    <w:rsid w:val="00C66DE3"/>
    <w:rsid w:val="00C67283"/>
    <w:rsid w:val="00C678F6"/>
    <w:rsid w:val="00C7294B"/>
    <w:rsid w:val="00C75927"/>
    <w:rsid w:val="00C90EEE"/>
    <w:rsid w:val="00C91835"/>
    <w:rsid w:val="00C91FA6"/>
    <w:rsid w:val="00C94190"/>
    <w:rsid w:val="00C97710"/>
    <w:rsid w:val="00CA1AB3"/>
    <w:rsid w:val="00CA3E32"/>
    <w:rsid w:val="00CA4C30"/>
    <w:rsid w:val="00CB3E30"/>
    <w:rsid w:val="00CB5196"/>
    <w:rsid w:val="00CC5763"/>
    <w:rsid w:val="00CC7AE0"/>
    <w:rsid w:val="00CD5B32"/>
    <w:rsid w:val="00CE3451"/>
    <w:rsid w:val="00CF0E74"/>
    <w:rsid w:val="00CF3C3C"/>
    <w:rsid w:val="00CF52A8"/>
    <w:rsid w:val="00D058F8"/>
    <w:rsid w:val="00D061D1"/>
    <w:rsid w:val="00D07A2C"/>
    <w:rsid w:val="00D11B84"/>
    <w:rsid w:val="00D12623"/>
    <w:rsid w:val="00D13654"/>
    <w:rsid w:val="00D15620"/>
    <w:rsid w:val="00D2006F"/>
    <w:rsid w:val="00D24438"/>
    <w:rsid w:val="00D26116"/>
    <w:rsid w:val="00D331EE"/>
    <w:rsid w:val="00D35628"/>
    <w:rsid w:val="00D375EC"/>
    <w:rsid w:val="00D413AB"/>
    <w:rsid w:val="00D47CF1"/>
    <w:rsid w:val="00D5238A"/>
    <w:rsid w:val="00D55617"/>
    <w:rsid w:val="00D644C7"/>
    <w:rsid w:val="00D734ED"/>
    <w:rsid w:val="00D80F4A"/>
    <w:rsid w:val="00D845EE"/>
    <w:rsid w:val="00D877E5"/>
    <w:rsid w:val="00D94155"/>
    <w:rsid w:val="00DA1850"/>
    <w:rsid w:val="00DA3110"/>
    <w:rsid w:val="00DA45E4"/>
    <w:rsid w:val="00DA5402"/>
    <w:rsid w:val="00DB0C07"/>
    <w:rsid w:val="00DB39FD"/>
    <w:rsid w:val="00DC7316"/>
    <w:rsid w:val="00DD2C0E"/>
    <w:rsid w:val="00DD30F7"/>
    <w:rsid w:val="00DD4418"/>
    <w:rsid w:val="00DD62D1"/>
    <w:rsid w:val="00DE03F3"/>
    <w:rsid w:val="00DE084B"/>
    <w:rsid w:val="00DF1F05"/>
    <w:rsid w:val="00E1413B"/>
    <w:rsid w:val="00E221BD"/>
    <w:rsid w:val="00E2569A"/>
    <w:rsid w:val="00E31DC8"/>
    <w:rsid w:val="00E3329E"/>
    <w:rsid w:val="00E3373B"/>
    <w:rsid w:val="00E455EC"/>
    <w:rsid w:val="00E5143C"/>
    <w:rsid w:val="00E606DC"/>
    <w:rsid w:val="00E606E5"/>
    <w:rsid w:val="00E71D5A"/>
    <w:rsid w:val="00E72991"/>
    <w:rsid w:val="00E73BBD"/>
    <w:rsid w:val="00E76FBC"/>
    <w:rsid w:val="00E774C0"/>
    <w:rsid w:val="00E811D8"/>
    <w:rsid w:val="00E816CF"/>
    <w:rsid w:val="00E81F2F"/>
    <w:rsid w:val="00E85DEC"/>
    <w:rsid w:val="00E902A5"/>
    <w:rsid w:val="00E91CCC"/>
    <w:rsid w:val="00E92A02"/>
    <w:rsid w:val="00E96612"/>
    <w:rsid w:val="00E96C63"/>
    <w:rsid w:val="00E96F7E"/>
    <w:rsid w:val="00EA02F4"/>
    <w:rsid w:val="00EC40A8"/>
    <w:rsid w:val="00EC5BD2"/>
    <w:rsid w:val="00ED1BE6"/>
    <w:rsid w:val="00ED53D5"/>
    <w:rsid w:val="00ED5587"/>
    <w:rsid w:val="00EE2FB2"/>
    <w:rsid w:val="00EE5B4F"/>
    <w:rsid w:val="00EF358D"/>
    <w:rsid w:val="00EF6288"/>
    <w:rsid w:val="00EF68F1"/>
    <w:rsid w:val="00F015CC"/>
    <w:rsid w:val="00F05C9E"/>
    <w:rsid w:val="00F07E43"/>
    <w:rsid w:val="00F20C71"/>
    <w:rsid w:val="00F2200C"/>
    <w:rsid w:val="00F22E68"/>
    <w:rsid w:val="00F26063"/>
    <w:rsid w:val="00F43D1D"/>
    <w:rsid w:val="00F44337"/>
    <w:rsid w:val="00F44F90"/>
    <w:rsid w:val="00F45B20"/>
    <w:rsid w:val="00F50404"/>
    <w:rsid w:val="00F519FA"/>
    <w:rsid w:val="00F52527"/>
    <w:rsid w:val="00F52858"/>
    <w:rsid w:val="00F54818"/>
    <w:rsid w:val="00F64CC4"/>
    <w:rsid w:val="00F72AC6"/>
    <w:rsid w:val="00F75B97"/>
    <w:rsid w:val="00F82AC2"/>
    <w:rsid w:val="00F84589"/>
    <w:rsid w:val="00F846DF"/>
    <w:rsid w:val="00F87C2E"/>
    <w:rsid w:val="00F90E26"/>
    <w:rsid w:val="00F91194"/>
    <w:rsid w:val="00F93F46"/>
    <w:rsid w:val="00F94203"/>
    <w:rsid w:val="00F97B5B"/>
    <w:rsid w:val="00FA000E"/>
    <w:rsid w:val="00FA130C"/>
    <w:rsid w:val="00FB7C82"/>
    <w:rsid w:val="00FC5D66"/>
    <w:rsid w:val="00FC678B"/>
    <w:rsid w:val="00FC6FA5"/>
    <w:rsid w:val="00FD0195"/>
    <w:rsid w:val="00FD143D"/>
    <w:rsid w:val="00FD743D"/>
    <w:rsid w:val="00FE3946"/>
    <w:rsid w:val="00F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1B26"/>
  <w15:docId w15:val="{5CFD5314-617A-486D-89A5-17564565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AFC"/>
  </w:style>
  <w:style w:type="paragraph" w:styleId="Heading1">
    <w:name w:val="heading 1"/>
    <w:basedOn w:val="Normal"/>
    <w:next w:val="Normal"/>
    <w:link w:val="Heading1Char"/>
    <w:uiPriority w:val="9"/>
    <w:qFormat/>
    <w:rsid w:val="003843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7C260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A3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33"/>
  </w:style>
  <w:style w:type="paragraph" w:styleId="BalloonText">
    <w:name w:val="Balloon Text"/>
    <w:basedOn w:val="Normal"/>
    <w:link w:val="BalloonTextChar"/>
    <w:uiPriority w:val="99"/>
    <w:semiHidden/>
    <w:unhideWhenUsed/>
    <w:rsid w:val="00C97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710"/>
    <w:rPr>
      <w:rFonts w:ascii="Segoe UI" w:hAnsi="Segoe UI" w:cs="Segoe UI"/>
      <w:sz w:val="18"/>
      <w:szCs w:val="18"/>
    </w:rPr>
  </w:style>
  <w:style w:type="paragraph" w:styleId="Header">
    <w:name w:val="header"/>
    <w:basedOn w:val="Normal"/>
    <w:link w:val="HeaderChar"/>
    <w:uiPriority w:val="99"/>
    <w:unhideWhenUsed/>
    <w:rsid w:val="002D34E9"/>
    <w:pPr>
      <w:tabs>
        <w:tab w:val="center" w:pos="4844"/>
        <w:tab w:val="right" w:pos="9689"/>
      </w:tabs>
      <w:spacing w:after="0" w:line="240" w:lineRule="auto"/>
    </w:pPr>
  </w:style>
  <w:style w:type="character" w:customStyle="1" w:styleId="HeaderChar">
    <w:name w:val="Header Char"/>
    <w:basedOn w:val="DefaultParagraphFont"/>
    <w:link w:val="Header"/>
    <w:uiPriority w:val="99"/>
    <w:rsid w:val="002D34E9"/>
  </w:style>
  <w:style w:type="table" w:styleId="TableGrid">
    <w:name w:val="Table Grid"/>
    <w:basedOn w:val="TableNormal"/>
    <w:rsid w:val="00AE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C260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rsid w:val="007C260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260C"/>
    <w:rPr>
      <w:rFonts w:ascii="Times New Roman" w:eastAsia="Times New Roman" w:hAnsi="Times New Roman" w:cs="Times New Roman"/>
      <w:sz w:val="24"/>
      <w:szCs w:val="24"/>
    </w:rPr>
  </w:style>
  <w:style w:type="paragraph" w:styleId="CommentText">
    <w:name w:val="annotation text"/>
    <w:basedOn w:val="Normal"/>
    <w:link w:val="CommentTextChar"/>
    <w:rsid w:val="00EE5B4F"/>
    <w:pPr>
      <w:spacing w:after="0" w:line="240" w:lineRule="auto"/>
    </w:pPr>
    <w:rPr>
      <w:rFonts w:ascii="Times New Roman" w:eastAsia="Times New Roman" w:hAnsi="Times New Roman" w:cs="Times New Roman"/>
      <w:b/>
      <w:sz w:val="20"/>
      <w:szCs w:val="20"/>
      <w:lang w:val="en-GB"/>
    </w:rPr>
  </w:style>
  <w:style w:type="character" w:customStyle="1" w:styleId="CommentTextChar">
    <w:name w:val="Comment Text Char"/>
    <w:basedOn w:val="DefaultParagraphFont"/>
    <w:link w:val="CommentText"/>
    <w:rsid w:val="00EE5B4F"/>
    <w:rPr>
      <w:rFonts w:ascii="Times New Roman" w:eastAsia="Times New Roman" w:hAnsi="Times New Roman" w:cs="Times New Roman"/>
      <w:b/>
      <w:sz w:val="20"/>
      <w:szCs w:val="20"/>
      <w:lang w:val="en-GB"/>
    </w:rPr>
  </w:style>
  <w:style w:type="character" w:customStyle="1" w:styleId="TableofFiguresChar">
    <w:name w:val="Table of Figures Char"/>
    <w:basedOn w:val="DefaultParagraphFont"/>
    <w:link w:val="TableofFigures"/>
    <w:uiPriority w:val="99"/>
    <w:locked/>
    <w:rsid w:val="00EE5B4F"/>
    <w:rPr>
      <w:rFonts w:ascii="Times New Roman" w:eastAsia="Times New Roman" w:hAnsi="Times New Roman" w:cs="Times New Roman"/>
      <w:b/>
      <w:sz w:val="20"/>
      <w:szCs w:val="24"/>
      <w:lang w:val="en-GB"/>
    </w:rPr>
  </w:style>
  <w:style w:type="paragraph" w:styleId="TableofFigures">
    <w:name w:val="table of figures"/>
    <w:basedOn w:val="Normal"/>
    <w:next w:val="Normal"/>
    <w:link w:val="TableofFiguresChar"/>
    <w:uiPriority w:val="99"/>
    <w:unhideWhenUsed/>
    <w:rsid w:val="00EE5B4F"/>
    <w:pPr>
      <w:spacing w:after="0" w:line="240" w:lineRule="auto"/>
    </w:pPr>
    <w:rPr>
      <w:rFonts w:ascii="Times New Roman" w:eastAsia="Times New Roman" w:hAnsi="Times New Roman" w:cs="Times New Roman"/>
      <w:b/>
      <w:sz w:val="20"/>
      <w:szCs w:val="24"/>
      <w:lang w:val="en-GB"/>
    </w:rPr>
  </w:style>
  <w:style w:type="paragraph" w:styleId="ListParagraph">
    <w:name w:val="List Paragraph"/>
    <w:aliases w:val="ARS_Paragraphe de liste,List Paragraph (numbered (a)),List Paragraph1,WB Para,Bullets,Akapit z listą BS,Lapis Bulleted List,Dot pt,F5 List Paragraph,No Spacing1,List Paragraph Char Char Char,Indicator Text,Numbered Para 1,Bullet 1,L"/>
    <w:basedOn w:val="Normal"/>
    <w:link w:val="ListParagraphChar"/>
    <w:uiPriority w:val="34"/>
    <w:qFormat/>
    <w:rsid w:val="00B85538"/>
    <w:pPr>
      <w:spacing w:after="0" w:line="240" w:lineRule="auto"/>
      <w:ind w:left="720"/>
      <w:contextualSpacing/>
    </w:pPr>
    <w:rPr>
      <w:rFonts w:ascii="Times New Roman" w:eastAsia="Times New Roman" w:hAnsi="Times New Roman" w:cs="Times New Roman"/>
      <w:b/>
      <w:sz w:val="24"/>
      <w:szCs w:val="24"/>
      <w:lang w:val="en-GB"/>
    </w:rPr>
  </w:style>
  <w:style w:type="character" w:customStyle="1" w:styleId="ListParagraphChar">
    <w:name w:val="List Paragraph Char"/>
    <w:aliases w:val="ARS_Paragraphe de liste Char,List Paragraph (numbered (a)) Char,List Paragraph1 Char,WB Para Char,Bullets Char,Akapit z listą BS Char,Lapis Bulleted List Char,Dot pt Char,F5 List Paragraph Char,No Spacing1 Char,Indicator Text Char"/>
    <w:link w:val="ListParagraph"/>
    <w:uiPriority w:val="34"/>
    <w:qFormat/>
    <w:locked/>
    <w:rsid w:val="00B85538"/>
    <w:rPr>
      <w:rFonts w:ascii="Times New Roman" w:eastAsia="Times New Roman" w:hAnsi="Times New Roman" w:cs="Times New Roman"/>
      <w:b/>
      <w:sz w:val="24"/>
      <w:szCs w:val="24"/>
      <w:lang w:val="en-GB"/>
    </w:rPr>
  </w:style>
  <w:style w:type="character" w:styleId="Hyperlink">
    <w:name w:val="Hyperlink"/>
    <w:basedOn w:val="DefaultParagraphFont"/>
    <w:uiPriority w:val="99"/>
    <w:rsid w:val="00394B98"/>
    <w:rPr>
      <w:color w:val="0563C1" w:themeColor="hyperlink"/>
      <w:u w:val="single"/>
    </w:rPr>
  </w:style>
  <w:style w:type="paragraph" w:customStyle="1" w:styleId="a">
    <w:name w:val="Аннотация"/>
    <w:basedOn w:val="Normal"/>
    <w:uiPriority w:val="3"/>
    <w:qFormat/>
    <w:rsid w:val="00F82AC2"/>
    <w:pPr>
      <w:spacing w:before="360" w:after="480" w:line="360" w:lineRule="auto"/>
    </w:pPr>
    <w:rPr>
      <w:b/>
      <w:i/>
      <w:iCs/>
      <w:color w:val="5B9BD5" w:themeColor="accent1"/>
      <w:kern w:val="20"/>
      <w:sz w:val="28"/>
      <w:szCs w:val="20"/>
      <w:lang w:val="ru-RU" w:eastAsia="ru-RU"/>
    </w:rPr>
  </w:style>
  <w:style w:type="character" w:styleId="Strong">
    <w:name w:val="Strong"/>
    <w:basedOn w:val="DefaultParagraphFont"/>
    <w:uiPriority w:val="22"/>
    <w:qFormat/>
    <w:rsid w:val="003843AD"/>
    <w:rPr>
      <w:b/>
      <w:bCs/>
    </w:rPr>
  </w:style>
  <w:style w:type="character" w:customStyle="1" w:styleId="Heading1Char">
    <w:name w:val="Heading 1 Char"/>
    <w:basedOn w:val="DefaultParagraphFont"/>
    <w:link w:val="Heading1"/>
    <w:uiPriority w:val="9"/>
    <w:rsid w:val="003843AD"/>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5539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5B2792"/>
    <w:rPr>
      <w:color w:val="605E5C"/>
      <w:shd w:val="clear" w:color="auto" w:fill="E1DFDD"/>
    </w:rPr>
  </w:style>
  <w:style w:type="character" w:styleId="FollowedHyperlink">
    <w:name w:val="FollowedHyperlink"/>
    <w:basedOn w:val="DefaultParagraphFont"/>
    <w:uiPriority w:val="99"/>
    <w:semiHidden/>
    <w:unhideWhenUsed/>
    <w:rsid w:val="00ED5587"/>
    <w:rPr>
      <w:color w:val="954F72" w:themeColor="followedHyperlink"/>
      <w:u w:val="single"/>
    </w:rPr>
  </w:style>
  <w:style w:type="character" w:styleId="CommentReference">
    <w:name w:val="annotation reference"/>
    <w:basedOn w:val="DefaultParagraphFont"/>
    <w:uiPriority w:val="99"/>
    <w:semiHidden/>
    <w:unhideWhenUsed/>
    <w:rsid w:val="00E455EC"/>
    <w:rPr>
      <w:sz w:val="16"/>
      <w:szCs w:val="16"/>
    </w:rPr>
  </w:style>
  <w:style w:type="paragraph" w:styleId="CommentSubject">
    <w:name w:val="annotation subject"/>
    <w:basedOn w:val="CommentText"/>
    <w:next w:val="CommentText"/>
    <w:link w:val="CommentSubjectChar"/>
    <w:uiPriority w:val="99"/>
    <w:semiHidden/>
    <w:unhideWhenUsed/>
    <w:rsid w:val="00E455EC"/>
    <w:pPr>
      <w:spacing w:after="160"/>
    </w:pPr>
    <w:rPr>
      <w:rFonts w:asciiTheme="minorHAnsi" w:eastAsiaTheme="minorHAnsi" w:hAnsiTheme="minorHAnsi" w:cstheme="minorBidi"/>
      <w:bCs/>
      <w:lang w:val="en-US"/>
    </w:rPr>
  </w:style>
  <w:style w:type="character" w:customStyle="1" w:styleId="CommentSubjectChar">
    <w:name w:val="Comment Subject Char"/>
    <w:basedOn w:val="CommentTextChar"/>
    <w:link w:val="CommentSubject"/>
    <w:uiPriority w:val="99"/>
    <w:semiHidden/>
    <w:rsid w:val="00E455EC"/>
    <w:rPr>
      <w:rFonts w:ascii="Times New Roman" w:eastAsia="Times New Roman" w:hAnsi="Times New Roman" w:cs="Times New Roman"/>
      <w:b/>
      <w:bCs/>
      <w:sz w:val="20"/>
      <w:szCs w:val="20"/>
      <w:lang w:val="en-GB"/>
    </w:rPr>
  </w:style>
  <w:style w:type="paragraph" w:customStyle="1" w:styleId="BulletGCF">
    <w:name w:val="Bullet_GCF"/>
    <w:basedOn w:val="Normal"/>
    <w:link w:val="BulletGCFChar"/>
    <w:qFormat/>
    <w:rsid w:val="006213AD"/>
    <w:pPr>
      <w:numPr>
        <w:numId w:val="21"/>
      </w:numPr>
    </w:pPr>
    <w:rPr>
      <w:rFonts w:ascii="Arial" w:hAnsi="Arial" w:cs="Arial"/>
      <w:sz w:val="20"/>
      <w:szCs w:val="16"/>
      <w:lang w:val="ru-RU"/>
    </w:rPr>
  </w:style>
  <w:style w:type="character" w:customStyle="1" w:styleId="BulletGCFChar">
    <w:name w:val="Bullet_GCF Char"/>
    <w:basedOn w:val="DefaultParagraphFont"/>
    <w:link w:val="BulletGCF"/>
    <w:rsid w:val="006213AD"/>
    <w:rPr>
      <w:rFonts w:ascii="Arial" w:hAnsi="Arial" w:cs="Arial"/>
      <w:sz w:val="20"/>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372">
      <w:bodyDiv w:val="1"/>
      <w:marLeft w:val="0"/>
      <w:marRight w:val="0"/>
      <w:marTop w:val="0"/>
      <w:marBottom w:val="0"/>
      <w:divBdr>
        <w:top w:val="none" w:sz="0" w:space="0" w:color="auto"/>
        <w:left w:val="none" w:sz="0" w:space="0" w:color="auto"/>
        <w:bottom w:val="none" w:sz="0" w:space="0" w:color="auto"/>
        <w:right w:val="none" w:sz="0" w:space="0" w:color="auto"/>
      </w:divBdr>
    </w:div>
    <w:div w:id="183057361">
      <w:bodyDiv w:val="1"/>
      <w:marLeft w:val="0"/>
      <w:marRight w:val="0"/>
      <w:marTop w:val="0"/>
      <w:marBottom w:val="0"/>
      <w:divBdr>
        <w:top w:val="none" w:sz="0" w:space="0" w:color="auto"/>
        <w:left w:val="none" w:sz="0" w:space="0" w:color="auto"/>
        <w:bottom w:val="none" w:sz="0" w:space="0" w:color="auto"/>
        <w:right w:val="none" w:sz="0" w:space="0" w:color="auto"/>
      </w:divBdr>
    </w:div>
    <w:div w:id="655760836">
      <w:bodyDiv w:val="1"/>
      <w:marLeft w:val="0"/>
      <w:marRight w:val="0"/>
      <w:marTop w:val="0"/>
      <w:marBottom w:val="0"/>
      <w:divBdr>
        <w:top w:val="none" w:sz="0" w:space="0" w:color="auto"/>
        <w:left w:val="none" w:sz="0" w:space="0" w:color="auto"/>
        <w:bottom w:val="none" w:sz="0" w:space="0" w:color="auto"/>
        <w:right w:val="none" w:sz="0" w:space="0" w:color="auto"/>
      </w:divBdr>
    </w:div>
    <w:div w:id="722755438">
      <w:bodyDiv w:val="1"/>
      <w:marLeft w:val="0"/>
      <w:marRight w:val="0"/>
      <w:marTop w:val="0"/>
      <w:marBottom w:val="0"/>
      <w:divBdr>
        <w:top w:val="none" w:sz="0" w:space="0" w:color="auto"/>
        <w:left w:val="none" w:sz="0" w:space="0" w:color="auto"/>
        <w:bottom w:val="none" w:sz="0" w:space="0" w:color="auto"/>
        <w:right w:val="none" w:sz="0" w:space="0" w:color="auto"/>
      </w:divBdr>
    </w:div>
    <w:div w:id="820191742">
      <w:bodyDiv w:val="1"/>
      <w:marLeft w:val="0"/>
      <w:marRight w:val="0"/>
      <w:marTop w:val="0"/>
      <w:marBottom w:val="0"/>
      <w:divBdr>
        <w:top w:val="none" w:sz="0" w:space="0" w:color="auto"/>
        <w:left w:val="none" w:sz="0" w:space="0" w:color="auto"/>
        <w:bottom w:val="none" w:sz="0" w:space="0" w:color="auto"/>
        <w:right w:val="none" w:sz="0" w:space="0" w:color="auto"/>
      </w:divBdr>
    </w:div>
    <w:div w:id="1012489372">
      <w:bodyDiv w:val="1"/>
      <w:marLeft w:val="0"/>
      <w:marRight w:val="0"/>
      <w:marTop w:val="0"/>
      <w:marBottom w:val="0"/>
      <w:divBdr>
        <w:top w:val="none" w:sz="0" w:space="0" w:color="auto"/>
        <w:left w:val="none" w:sz="0" w:space="0" w:color="auto"/>
        <w:bottom w:val="none" w:sz="0" w:space="0" w:color="auto"/>
        <w:right w:val="none" w:sz="0" w:space="0" w:color="auto"/>
      </w:divBdr>
    </w:div>
    <w:div w:id="1213034729">
      <w:bodyDiv w:val="1"/>
      <w:marLeft w:val="0"/>
      <w:marRight w:val="0"/>
      <w:marTop w:val="0"/>
      <w:marBottom w:val="0"/>
      <w:divBdr>
        <w:top w:val="none" w:sz="0" w:space="0" w:color="auto"/>
        <w:left w:val="none" w:sz="0" w:space="0" w:color="auto"/>
        <w:bottom w:val="none" w:sz="0" w:space="0" w:color="auto"/>
        <w:right w:val="none" w:sz="0" w:space="0" w:color="auto"/>
      </w:divBdr>
    </w:div>
    <w:div w:id="1494368672">
      <w:bodyDiv w:val="1"/>
      <w:marLeft w:val="0"/>
      <w:marRight w:val="0"/>
      <w:marTop w:val="0"/>
      <w:marBottom w:val="0"/>
      <w:divBdr>
        <w:top w:val="none" w:sz="0" w:space="0" w:color="auto"/>
        <w:left w:val="none" w:sz="0" w:space="0" w:color="auto"/>
        <w:bottom w:val="none" w:sz="0" w:space="0" w:color="auto"/>
        <w:right w:val="none" w:sz="0" w:space="0" w:color="auto"/>
      </w:divBdr>
    </w:div>
    <w:div w:id="1546521251">
      <w:bodyDiv w:val="1"/>
      <w:marLeft w:val="0"/>
      <w:marRight w:val="0"/>
      <w:marTop w:val="0"/>
      <w:marBottom w:val="0"/>
      <w:divBdr>
        <w:top w:val="none" w:sz="0" w:space="0" w:color="auto"/>
        <w:left w:val="none" w:sz="0" w:space="0" w:color="auto"/>
        <w:bottom w:val="none" w:sz="0" w:space="0" w:color="auto"/>
        <w:right w:val="none" w:sz="0" w:space="0" w:color="auto"/>
      </w:divBdr>
    </w:div>
    <w:div w:id="1707368011">
      <w:bodyDiv w:val="1"/>
      <w:marLeft w:val="0"/>
      <w:marRight w:val="0"/>
      <w:marTop w:val="0"/>
      <w:marBottom w:val="0"/>
      <w:divBdr>
        <w:top w:val="none" w:sz="0" w:space="0" w:color="auto"/>
        <w:left w:val="none" w:sz="0" w:space="0" w:color="auto"/>
        <w:bottom w:val="none" w:sz="0" w:space="0" w:color="auto"/>
        <w:right w:val="none" w:sz="0" w:space="0" w:color="auto"/>
      </w:divBdr>
    </w:div>
    <w:div w:id="1794053205">
      <w:bodyDiv w:val="1"/>
      <w:marLeft w:val="0"/>
      <w:marRight w:val="0"/>
      <w:marTop w:val="0"/>
      <w:marBottom w:val="0"/>
      <w:divBdr>
        <w:top w:val="none" w:sz="0" w:space="0" w:color="auto"/>
        <w:left w:val="none" w:sz="0" w:space="0" w:color="auto"/>
        <w:bottom w:val="none" w:sz="0" w:space="0" w:color="auto"/>
        <w:right w:val="none" w:sz="0" w:space="0" w:color="auto"/>
      </w:divBdr>
    </w:div>
    <w:div w:id="1810051782">
      <w:bodyDiv w:val="1"/>
      <w:marLeft w:val="0"/>
      <w:marRight w:val="0"/>
      <w:marTop w:val="0"/>
      <w:marBottom w:val="0"/>
      <w:divBdr>
        <w:top w:val="none" w:sz="0" w:space="0" w:color="auto"/>
        <w:left w:val="none" w:sz="0" w:space="0" w:color="auto"/>
        <w:bottom w:val="none" w:sz="0" w:space="0" w:color="auto"/>
        <w:right w:val="none" w:sz="0" w:space="0" w:color="auto"/>
      </w:divBdr>
    </w:div>
    <w:div w:id="1993176712">
      <w:bodyDiv w:val="1"/>
      <w:marLeft w:val="0"/>
      <w:marRight w:val="0"/>
      <w:marTop w:val="0"/>
      <w:marBottom w:val="0"/>
      <w:divBdr>
        <w:top w:val="none" w:sz="0" w:space="0" w:color="auto"/>
        <w:left w:val="none" w:sz="0" w:space="0" w:color="auto"/>
        <w:bottom w:val="none" w:sz="0" w:space="0" w:color="auto"/>
        <w:right w:val="none" w:sz="0" w:space="0" w:color="auto"/>
      </w:divBdr>
    </w:div>
    <w:div w:id="2035495438">
      <w:bodyDiv w:val="1"/>
      <w:marLeft w:val="0"/>
      <w:marRight w:val="0"/>
      <w:marTop w:val="0"/>
      <w:marBottom w:val="0"/>
      <w:divBdr>
        <w:top w:val="none" w:sz="0" w:space="0" w:color="auto"/>
        <w:left w:val="none" w:sz="0" w:space="0" w:color="auto"/>
        <w:bottom w:val="none" w:sz="0" w:space="0" w:color="auto"/>
        <w:right w:val="none" w:sz="0" w:space="0" w:color="auto"/>
      </w:divBdr>
    </w:div>
    <w:div w:id="20819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tourkg.com/wp-content/uploads/2014/02/flag-Kyrgyzstana.png" TargetMode="External"/><Relationship Id="rId18" Type="http://schemas.openxmlformats.org/officeDocument/2006/relationships/hyperlink" Target="https://www.facebook.com/RealEconomyWithSaltanat/photos/a.1952398308339515/2367026680210007/?type=3&amp;theater" TargetMode="External"/><Relationship Id="rId3" Type="http://schemas.openxmlformats.org/officeDocument/2006/relationships/customXml" Target="../customXml/item3.xml"/><Relationship Id="rId21" Type="http://schemas.openxmlformats.org/officeDocument/2006/relationships/hyperlink" Target="https://www.akchabar.kg/ru/news/v-kr-obsudili-mehanizm-finansirovaniya-startap-proektov-v-regionah/"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mineconom.gov.kg/ru/post/5843?fbclid=IwAR1xCm3TeVuX10OsclYiiR82AdsuLXbzWZKw9OXG4WuGtF3AKVRtNHCnQ14"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mineconom.gov.kg/ru/post/5858" TargetMode="External"/><Relationship Id="rId20" Type="http://schemas.openxmlformats.org/officeDocument/2006/relationships/hyperlink" Target="https://economist.kg/2019/10/14/10-biznesmenov-poluchat-kredity-ot-rkfr-po-linii-finansirovaniya-startap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kdf.org/ru/kreditovanie/shablony_biznes_planov/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Strengthening Capacities for Sustainable Development Finance in the Commonwealth of Independent States (CIS) Region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2020-12-01T08:00:00+00:00</UNDPPublishedDate>
    <UNDPCountryTaxHTField0 xmlns="1ed4137b-41b2-488b-8250-6d369ec27664">
      <Terms xmlns="http://schemas.microsoft.com/office/infopath/2007/PartnerControls"/>
    </UNDPCountryTaxHTField0>
    <UndpOUCode xmlns="1ed4137b-41b2-488b-8250-6d369ec27664">KGZ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1111</Value>
      <Value>1134</Value>
      <Value>1</Value>
      <Value>763</Value>
    </TaxCatchAll>
    <c4e2ab2cc9354bbf9064eeb465a566ea xmlns="1ed4137b-41b2-488b-8250-6d369ec27664">
      <Terms xmlns="http://schemas.microsoft.com/office/infopath/2007/PartnerControls"/>
    </c4e2ab2cc9354bbf9064eeb465a566ea>
    <UndpProjectNo xmlns="1ed4137b-41b2-488b-8250-6d369ec27664">00106198</UndpProjectNo>
    <UndpDocStatus xmlns="1ed4137b-41b2-488b-8250-6d369ec27664">Final</UndpDocStatus>
    <Outcome1 xmlns="f1161f5b-24a3-4c2d-bc81-44cb9325e8ee">00107048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ATLASPDC-4-126314</_dlc_DocId>
    <_dlc_DocIdUrl xmlns="f1161f5b-24a3-4c2d-bc81-44cb9325e8ee">
      <Url>https://info.undp.org/docs/pdc/_layouts/DocIdRedir.aspx?ID=ATLASPDC-4-126314</Url>
      <Description>ATLASPDC-4-126314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ED56E7-0959-4410-935E-0C2E649ABC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84193-C4E0-491C-B5B7-1B304BAFF336}"/>
</file>

<file path=customXml/itemProps4.xml><?xml version="1.0" encoding="utf-8"?>
<ds:datastoreItem xmlns:ds="http://schemas.openxmlformats.org/officeDocument/2006/customXml" ds:itemID="{9A944E1D-18A5-45A4-963F-932DE3F6EC7A}">
  <ds:schemaRefs>
    <ds:schemaRef ds:uri="http://schemas.microsoft.com/sharepoint/v3/contenttype/forms"/>
  </ds:schemaRefs>
</ds:datastoreItem>
</file>

<file path=customXml/itemProps5.xml><?xml version="1.0" encoding="utf-8"?>
<ds:datastoreItem xmlns:ds="http://schemas.openxmlformats.org/officeDocument/2006/customXml" ds:itemID="{AFACE8B4-4CB0-4FE6-B51F-C1718A124DD6}"/>
</file>

<file path=customXml/itemProps6.xml><?xml version="1.0" encoding="utf-8"?>
<ds:datastoreItem xmlns:ds="http://schemas.openxmlformats.org/officeDocument/2006/customXml" ds:itemID="{50E1777F-A570-45C9-B25E-66D07974C5DE}"/>
</file>

<file path=docProps/app.xml><?xml version="1.0" encoding="utf-8"?>
<Properties xmlns="http://schemas.openxmlformats.org/officeDocument/2006/extended-properties" xmlns:vt="http://schemas.openxmlformats.org/officeDocument/2006/docPropsVTypes">
  <Template>Normal</Template>
  <TotalTime>1</TotalTime>
  <Pages>11</Pages>
  <Words>4117</Words>
  <Characters>23473</Characters>
  <Application>Microsoft Office Word</Application>
  <DocSecurity>0</DocSecurity>
  <Lines>195</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dc:title>
  <dc:subject/>
  <dc:creator>UNDP</dc:creator>
  <cp:lastModifiedBy>Aidai Arstanbekova</cp:lastModifiedBy>
  <cp:revision>2</cp:revision>
  <dcterms:created xsi:type="dcterms:W3CDTF">2020-03-05T08:20:00Z</dcterms:created>
  <dcterms:modified xsi:type="dcterms:W3CDTF">2020-03-05T08:20:00Z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b5b49ec3-cd2a-4029-8ca1-42450a91254d</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1134;#KGZ|727026dd-df17-4ad9-a887-e25da90c4444</vt:lpwstr>
  </property>
  <property fmtid="{D5CDD505-2E9C-101B-9397-08002B2CF9AE}" pid="9" name="Atlas Document Status">
    <vt:lpwstr>763;#Draft|121d40a5-e62e-4d42-82e4-d6d12003de0a</vt:lpwstr>
  </property>
  <property fmtid="{D5CDD505-2E9C-101B-9397-08002B2CF9AE}" pid="10" name="Atlas Document Type">
    <vt:lpwstr>1111;#Donor Report|632012e1-2edc-436c-bf11-0ed9e79cd8fe</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